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A52" w:rsidRPr="00030130" w:rsidRDefault="00313A52" w:rsidP="00314A34">
      <w:pPr>
        <w:tabs>
          <w:tab w:val="left" w:pos="6521"/>
        </w:tabs>
        <w:ind w:left="6372"/>
        <w:rPr>
          <w:rFonts w:asciiTheme="minorHAnsi" w:hAnsiTheme="minorHAnsi" w:cstheme="minorHAnsi"/>
          <w:b/>
          <w:sz w:val="24"/>
          <w:szCs w:val="24"/>
        </w:rPr>
      </w:pPr>
    </w:p>
    <w:p w:rsidR="00313A52" w:rsidRPr="00030130" w:rsidRDefault="00313A52" w:rsidP="00314A34">
      <w:pPr>
        <w:tabs>
          <w:tab w:val="left" w:pos="6521"/>
        </w:tabs>
        <w:ind w:left="6372"/>
        <w:rPr>
          <w:rFonts w:asciiTheme="minorHAnsi" w:hAnsiTheme="minorHAnsi" w:cstheme="minorHAnsi"/>
          <w:b/>
          <w:sz w:val="24"/>
          <w:szCs w:val="24"/>
        </w:rPr>
      </w:pPr>
    </w:p>
    <w:p w:rsidR="00313A52" w:rsidRPr="00030130" w:rsidRDefault="00313A52" w:rsidP="00314A34">
      <w:pPr>
        <w:tabs>
          <w:tab w:val="left" w:pos="6521"/>
        </w:tabs>
        <w:ind w:left="6372"/>
        <w:rPr>
          <w:rFonts w:asciiTheme="minorHAnsi" w:hAnsiTheme="minorHAnsi" w:cstheme="minorHAnsi"/>
          <w:b/>
          <w:sz w:val="24"/>
          <w:szCs w:val="24"/>
        </w:rPr>
      </w:pPr>
    </w:p>
    <w:p w:rsidR="005C3BC0" w:rsidRPr="00216E1E" w:rsidRDefault="005C3BC0" w:rsidP="005C3BC0">
      <w:pPr>
        <w:pStyle w:val="Geenafstand"/>
        <w:rPr>
          <w:sz w:val="28"/>
          <w:szCs w:val="28"/>
        </w:rPr>
      </w:pPr>
      <w:r w:rsidRPr="00216E1E">
        <w:rPr>
          <w:sz w:val="28"/>
          <w:szCs w:val="28"/>
        </w:rPr>
        <w:t>Nieuwsbrief Agrarisch recht</w:t>
      </w:r>
    </w:p>
    <w:p w:rsidR="005C3BC0" w:rsidRPr="00216E1E" w:rsidRDefault="005C3BC0" w:rsidP="005C3BC0">
      <w:pPr>
        <w:pStyle w:val="Geenafstand"/>
        <w:rPr>
          <w:sz w:val="28"/>
          <w:szCs w:val="28"/>
        </w:rPr>
      </w:pPr>
      <w:r w:rsidRPr="00216E1E">
        <w:rPr>
          <w:sz w:val="28"/>
          <w:szCs w:val="28"/>
        </w:rPr>
        <w:t xml:space="preserve">WEEK </w:t>
      </w:r>
      <w:r w:rsidR="00294A52">
        <w:rPr>
          <w:sz w:val="28"/>
          <w:szCs w:val="28"/>
        </w:rPr>
        <w:t>4</w:t>
      </w:r>
      <w:r w:rsidR="00576946">
        <w:rPr>
          <w:sz w:val="28"/>
          <w:szCs w:val="28"/>
        </w:rPr>
        <w:t>2</w:t>
      </w:r>
      <w:r w:rsidRPr="00216E1E">
        <w:rPr>
          <w:sz w:val="28"/>
          <w:szCs w:val="28"/>
        </w:rPr>
        <w:t>/ 2016</w:t>
      </w:r>
    </w:p>
    <w:p w:rsidR="005C3BC0" w:rsidRPr="00216E1E" w:rsidRDefault="00576946" w:rsidP="005C3BC0">
      <w:pPr>
        <w:pStyle w:val="Geenafstand"/>
      </w:pPr>
      <w:r>
        <w:t>17</w:t>
      </w:r>
      <w:r w:rsidR="00294A52">
        <w:t xml:space="preserve"> oktober – </w:t>
      </w:r>
      <w:r>
        <w:t>23</w:t>
      </w:r>
      <w:r w:rsidR="00294A52">
        <w:t xml:space="preserve"> oktober </w:t>
      </w:r>
      <w:r w:rsidR="005C3BC0" w:rsidRPr="00216E1E">
        <w:t>2016</w:t>
      </w:r>
    </w:p>
    <w:p w:rsidR="005C3BC0" w:rsidRPr="00216E1E" w:rsidRDefault="005C3BC0" w:rsidP="005C3BC0">
      <w:pPr>
        <w:pStyle w:val="Geenafstand"/>
      </w:pPr>
    </w:p>
    <w:p w:rsidR="00625B0E" w:rsidRPr="00216E1E" w:rsidRDefault="00625B0E" w:rsidP="00646422">
      <w:pPr>
        <w:rPr>
          <w:rFonts w:asciiTheme="minorHAnsi" w:hAnsiTheme="minorHAnsi" w:cstheme="minorHAnsi"/>
          <w:sz w:val="24"/>
          <w:szCs w:val="24"/>
        </w:rPr>
      </w:pPr>
    </w:p>
    <w:p w:rsidR="00F352AC" w:rsidRPr="00F352AC" w:rsidRDefault="00F352AC" w:rsidP="00F352AC">
      <w:pPr>
        <w:rPr>
          <w:rFonts w:asciiTheme="minorHAnsi" w:hAnsiTheme="minorHAnsi" w:cstheme="minorHAnsi"/>
          <w:b/>
          <w:sz w:val="24"/>
          <w:szCs w:val="24"/>
        </w:rPr>
      </w:pPr>
      <w:r w:rsidRPr="00F352AC">
        <w:rPr>
          <w:rFonts w:asciiTheme="minorHAnsi" w:hAnsiTheme="minorHAnsi" w:cstheme="minorHAnsi"/>
          <w:b/>
          <w:sz w:val="24"/>
          <w:szCs w:val="24"/>
        </w:rPr>
        <w:t>Beheer landelijk gebied</w:t>
      </w:r>
    </w:p>
    <w:p w:rsidR="00F352AC" w:rsidRDefault="00F352AC" w:rsidP="00F352AC">
      <w:pPr>
        <w:rPr>
          <w:rFonts w:asciiTheme="minorHAnsi" w:hAnsiTheme="minorHAnsi" w:cstheme="minorHAnsi"/>
          <w:sz w:val="22"/>
          <w:szCs w:val="22"/>
        </w:rPr>
      </w:pPr>
    </w:p>
    <w:p w:rsidR="001D311B" w:rsidRPr="001D311B" w:rsidRDefault="001D311B" w:rsidP="00F352AC">
      <w:pPr>
        <w:rPr>
          <w:rFonts w:asciiTheme="minorHAnsi" w:hAnsiTheme="minorHAnsi" w:cstheme="minorHAnsi"/>
          <w:i/>
          <w:sz w:val="22"/>
          <w:szCs w:val="22"/>
        </w:rPr>
      </w:pPr>
      <w:r w:rsidRPr="001D311B">
        <w:rPr>
          <w:rFonts w:asciiTheme="minorHAnsi" w:hAnsiTheme="minorHAnsi" w:cstheme="minorHAnsi"/>
          <w:i/>
          <w:sz w:val="22"/>
          <w:szCs w:val="22"/>
        </w:rPr>
        <w:t>Landschap</w:t>
      </w:r>
    </w:p>
    <w:p w:rsidR="001D311B" w:rsidRDefault="001D311B" w:rsidP="00F352AC">
      <w:pPr>
        <w:rPr>
          <w:rFonts w:asciiTheme="minorHAnsi" w:hAnsiTheme="minorHAnsi" w:cstheme="minorHAnsi"/>
          <w:sz w:val="22"/>
          <w:szCs w:val="22"/>
        </w:rPr>
      </w:pPr>
      <w:r>
        <w:rPr>
          <w:rFonts w:asciiTheme="minorHAnsi" w:hAnsiTheme="minorHAnsi" w:cstheme="minorHAnsi"/>
          <w:sz w:val="22"/>
          <w:szCs w:val="22"/>
        </w:rPr>
        <w:t xml:space="preserve">Over de voortgang van het landschapsbeleid gaat </w:t>
      </w:r>
      <w:hyperlink r:id="rId9" w:history="1">
        <w:r w:rsidRPr="001D311B">
          <w:rPr>
            <w:rStyle w:val="Hyperlink"/>
            <w:rFonts w:asciiTheme="minorHAnsi" w:hAnsiTheme="minorHAnsi" w:cstheme="minorHAnsi"/>
            <w:sz w:val="22"/>
            <w:szCs w:val="22"/>
          </w:rPr>
          <w:t>Kamerstukken II, 2016/17, 33576, nr. 89</w:t>
        </w:r>
      </w:hyperlink>
      <w:r>
        <w:rPr>
          <w:rFonts w:asciiTheme="minorHAnsi" w:hAnsiTheme="minorHAnsi" w:cstheme="minorHAnsi"/>
          <w:sz w:val="22"/>
          <w:szCs w:val="22"/>
        </w:rPr>
        <w:t xml:space="preserve">. Een citaat: </w:t>
      </w:r>
      <w:r w:rsidRPr="001D311B">
        <w:rPr>
          <w:rFonts w:asciiTheme="minorHAnsi" w:hAnsiTheme="minorHAnsi" w:cstheme="minorHAnsi"/>
          <w:sz w:val="22"/>
          <w:szCs w:val="22"/>
        </w:rPr>
        <w:t>De Nationale Omgevingsvisie, waar nu aan gewerkt wordt, is bij uitstek de plek waar de samenhang tussen ruimtelijke aspecten, natuur en landschap geborgd wordt. In de Nationale Omgevingsvisie wordt ook de verbinding gelegd met andere ruimtelijke opgaven die een grote impact hebben op het landschap van de toekomst, zoals de demografische ontwikkelingen en energie. Daarom zal het vervolgtraject van de visie op landschap gecombineerd worden met het proces van de Nationale Omgevingsvisie, zodat landschap en landschappelijke kwaliteiten integraal worden meegenomen.</w:t>
      </w:r>
    </w:p>
    <w:p w:rsidR="001D311B" w:rsidRDefault="001D311B" w:rsidP="00F352AC">
      <w:pPr>
        <w:rPr>
          <w:rFonts w:asciiTheme="minorHAnsi" w:hAnsiTheme="minorHAnsi" w:cstheme="minorHAnsi"/>
          <w:sz w:val="22"/>
          <w:szCs w:val="22"/>
        </w:rPr>
      </w:pPr>
    </w:p>
    <w:p w:rsidR="001D311B" w:rsidRPr="001D311B" w:rsidRDefault="001D311B" w:rsidP="00F352AC">
      <w:pPr>
        <w:rPr>
          <w:rFonts w:asciiTheme="minorHAnsi" w:hAnsiTheme="minorHAnsi" w:cstheme="minorHAnsi"/>
          <w:i/>
          <w:sz w:val="22"/>
          <w:szCs w:val="22"/>
        </w:rPr>
      </w:pPr>
      <w:r w:rsidRPr="001D311B">
        <w:rPr>
          <w:rFonts w:asciiTheme="minorHAnsi" w:hAnsiTheme="minorHAnsi" w:cstheme="minorHAnsi"/>
          <w:i/>
          <w:sz w:val="22"/>
          <w:szCs w:val="22"/>
        </w:rPr>
        <w:t>PAS</w:t>
      </w:r>
    </w:p>
    <w:p w:rsidR="001D311B" w:rsidRPr="000F3C50" w:rsidRDefault="00DB01E2" w:rsidP="00F352AC">
      <w:pPr>
        <w:rPr>
          <w:rFonts w:asciiTheme="minorHAnsi" w:hAnsiTheme="minorHAnsi" w:cstheme="minorHAnsi"/>
          <w:sz w:val="22"/>
          <w:szCs w:val="22"/>
        </w:rPr>
      </w:pPr>
      <w:r>
        <w:rPr>
          <w:rFonts w:asciiTheme="minorHAnsi" w:hAnsiTheme="minorHAnsi" w:cstheme="minorHAnsi"/>
          <w:sz w:val="22"/>
          <w:szCs w:val="22"/>
        </w:rPr>
        <w:t>Aan de Tweede Kamer is gezonden een voortgangsrapportage over het eerste jaar van het PAS (</w:t>
      </w:r>
      <w:hyperlink r:id="rId10" w:history="1">
        <w:r w:rsidRPr="00DB01E2">
          <w:rPr>
            <w:rStyle w:val="Hyperlink"/>
            <w:rFonts w:asciiTheme="minorHAnsi" w:hAnsiTheme="minorHAnsi" w:cstheme="minorHAnsi"/>
            <w:sz w:val="22"/>
            <w:szCs w:val="22"/>
          </w:rPr>
          <w:t>Kamerstukken II, 2016/17, 32670, nr. 111</w:t>
        </w:r>
      </w:hyperlink>
      <w:r>
        <w:rPr>
          <w:rFonts w:asciiTheme="minorHAnsi" w:hAnsiTheme="minorHAnsi" w:cstheme="minorHAnsi"/>
          <w:sz w:val="22"/>
          <w:szCs w:val="22"/>
        </w:rPr>
        <w:t xml:space="preserve">). De regering kijkt met tevredenheid terug op dat eerste jaar, maar blijft alert voor de toekomst. </w:t>
      </w:r>
      <w:r w:rsidRPr="00DB01E2">
        <w:rPr>
          <w:rFonts w:asciiTheme="minorHAnsi" w:hAnsiTheme="minorHAnsi" w:cstheme="minorHAnsi"/>
          <w:sz w:val="22"/>
          <w:szCs w:val="22"/>
        </w:rPr>
        <w:t>De Afdeling bestuursrechtspraak van de Raad van State zal op woensdag 30 november en donderdag 1 december 2016 negen zaken op zitting behandelen waarin het programma aanpak stikstof (PAS) een rol speel</w:t>
      </w:r>
      <w:r>
        <w:rPr>
          <w:rFonts w:asciiTheme="minorHAnsi" w:hAnsiTheme="minorHAnsi" w:cstheme="minorHAnsi"/>
          <w:sz w:val="22"/>
          <w:szCs w:val="22"/>
        </w:rPr>
        <w:t>t (</w:t>
      </w:r>
      <w:hyperlink r:id="rId11" w:history="1">
        <w:r w:rsidRPr="00DB01E2">
          <w:rPr>
            <w:rStyle w:val="Hyperlink"/>
            <w:rFonts w:asciiTheme="minorHAnsi" w:hAnsiTheme="minorHAnsi" w:cstheme="minorHAnsi"/>
            <w:sz w:val="22"/>
            <w:szCs w:val="22"/>
          </w:rPr>
          <w:t>Persbericht RvS</w:t>
        </w:r>
      </w:hyperlink>
      <w:r>
        <w:rPr>
          <w:rFonts w:asciiTheme="minorHAnsi" w:hAnsiTheme="minorHAnsi" w:cstheme="minorHAnsi"/>
          <w:sz w:val="22"/>
          <w:szCs w:val="22"/>
        </w:rPr>
        <w:t>)</w:t>
      </w:r>
    </w:p>
    <w:p w:rsidR="00177580" w:rsidRDefault="00177580" w:rsidP="00F352AC">
      <w:pPr>
        <w:rPr>
          <w:rFonts w:asciiTheme="minorHAnsi" w:hAnsiTheme="minorHAnsi" w:cstheme="minorHAnsi"/>
          <w:sz w:val="22"/>
          <w:szCs w:val="22"/>
        </w:rPr>
      </w:pPr>
    </w:p>
    <w:p w:rsidR="00F120AA" w:rsidRPr="00F120AA" w:rsidRDefault="00F120AA" w:rsidP="00F352AC">
      <w:pPr>
        <w:rPr>
          <w:rFonts w:asciiTheme="minorHAnsi" w:hAnsiTheme="minorHAnsi" w:cstheme="minorHAnsi"/>
          <w:i/>
          <w:sz w:val="22"/>
          <w:szCs w:val="22"/>
        </w:rPr>
      </w:pPr>
      <w:r w:rsidRPr="00F120AA">
        <w:rPr>
          <w:rFonts w:asciiTheme="minorHAnsi" w:hAnsiTheme="minorHAnsi" w:cstheme="minorHAnsi"/>
          <w:i/>
          <w:sz w:val="22"/>
          <w:szCs w:val="22"/>
        </w:rPr>
        <w:t>Wet natuurbescherming</w:t>
      </w:r>
    </w:p>
    <w:p w:rsidR="00F120AA" w:rsidRDefault="00F120AA" w:rsidP="00F352AC">
      <w:pPr>
        <w:rPr>
          <w:rFonts w:asciiTheme="minorHAnsi" w:hAnsiTheme="minorHAnsi" w:cstheme="minorHAnsi"/>
          <w:sz w:val="22"/>
          <w:szCs w:val="22"/>
        </w:rPr>
      </w:pPr>
      <w:r w:rsidRPr="00F120AA">
        <w:rPr>
          <w:rFonts w:asciiTheme="minorHAnsi" w:hAnsiTheme="minorHAnsi" w:cstheme="minorHAnsi"/>
          <w:sz w:val="22"/>
          <w:szCs w:val="22"/>
        </w:rPr>
        <w:t>Zoals eerder aangekondigd, zullen de Wet natuurbescherming en de daarop gebaseerde uitvoeringsregelgeving op 1 januari 2017 in werking treden. Het nieuwe wettelijke stelsel vervangt de Natuurbeschermingswet 1998, de Flora- en faunawet en de Boswet en de daarop gebaseerde uitvoeringsregelgeving.</w:t>
      </w:r>
      <w:r>
        <w:rPr>
          <w:rFonts w:asciiTheme="minorHAnsi" w:hAnsiTheme="minorHAnsi" w:cstheme="minorHAnsi"/>
          <w:sz w:val="22"/>
          <w:szCs w:val="22"/>
        </w:rPr>
        <w:t xml:space="preserve"> Er zijn wel enkele bepalingen uitgezonderd. (</w:t>
      </w:r>
      <w:hyperlink r:id="rId12" w:history="1">
        <w:r w:rsidRPr="00F120AA">
          <w:rPr>
            <w:rStyle w:val="Hyperlink"/>
            <w:rFonts w:asciiTheme="minorHAnsi" w:hAnsiTheme="minorHAnsi" w:cstheme="minorHAnsi"/>
            <w:sz w:val="22"/>
            <w:szCs w:val="22"/>
          </w:rPr>
          <w:t>Kamerstukken I, 2016/17, 33348, Z</w:t>
        </w:r>
      </w:hyperlink>
      <w:r>
        <w:rPr>
          <w:rFonts w:asciiTheme="minorHAnsi" w:hAnsiTheme="minorHAnsi" w:cstheme="minorHAnsi"/>
          <w:sz w:val="22"/>
          <w:szCs w:val="22"/>
        </w:rPr>
        <w:t>).</w:t>
      </w:r>
    </w:p>
    <w:p w:rsidR="00F120AA" w:rsidRDefault="00F120AA" w:rsidP="00F352AC">
      <w:pPr>
        <w:rPr>
          <w:rFonts w:asciiTheme="minorHAnsi" w:hAnsiTheme="minorHAnsi" w:cstheme="minorHAnsi"/>
          <w:sz w:val="22"/>
          <w:szCs w:val="22"/>
        </w:rPr>
      </w:pPr>
    </w:p>
    <w:p w:rsidR="00F352AC" w:rsidRPr="00F352AC" w:rsidRDefault="00F352AC" w:rsidP="00F352AC">
      <w:pPr>
        <w:rPr>
          <w:rFonts w:asciiTheme="minorHAnsi" w:hAnsiTheme="minorHAnsi" w:cstheme="minorHAnsi"/>
          <w:b/>
          <w:sz w:val="24"/>
          <w:szCs w:val="24"/>
        </w:rPr>
      </w:pPr>
      <w:r w:rsidRPr="00F352AC">
        <w:rPr>
          <w:rFonts w:asciiTheme="minorHAnsi" w:hAnsiTheme="minorHAnsi" w:cstheme="minorHAnsi"/>
          <w:b/>
          <w:sz w:val="24"/>
          <w:szCs w:val="24"/>
        </w:rPr>
        <w:t>Dieren</w:t>
      </w:r>
    </w:p>
    <w:p w:rsidR="00F352AC" w:rsidRDefault="00F352AC" w:rsidP="00F352AC">
      <w:pPr>
        <w:rPr>
          <w:rFonts w:asciiTheme="minorHAnsi" w:hAnsiTheme="minorHAnsi" w:cstheme="minorHAnsi"/>
          <w:sz w:val="22"/>
          <w:szCs w:val="22"/>
        </w:rPr>
      </w:pPr>
    </w:p>
    <w:p w:rsidR="00DB01E2" w:rsidRPr="00DB01E2" w:rsidRDefault="00DB01E2" w:rsidP="00F352AC">
      <w:pPr>
        <w:rPr>
          <w:rFonts w:asciiTheme="minorHAnsi" w:hAnsiTheme="minorHAnsi" w:cstheme="minorHAnsi"/>
          <w:i/>
          <w:sz w:val="22"/>
          <w:szCs w:val="22"/>
        </w:rPr>
      </w:pPr>
      <w:r w:rsidRPr="00DB01E2">
        <w:rPr>
          <w:rFonts w:asciiTheme="minorHAnsi" w:hAnsiTheme="minorHAnsi" w:cstheme="minorHAnsi"/>
          <w:i/>
          <w:sz w:val="22"/>
          <w:szCs w:val="22"/>
        </w:rPr>
        <w:t>Wet dieren</w:t>
      </w:r>
    </w:p>
    <w:p w:rsidR="00DB01E2" w:rsidRDefault="00D03117" w:rsidP="00F352AC">
      <w:pPr>
        <w:rPr>
          <w:rFonts w:asciiTheme="minorHAnsi" w:hAnsiTheme="minorHAnsi" w:cstheme="minorHAnsi"/>
          <w:sz w:val="22"/>
          <w:szCs w:val="22"/>
        </w:rPr>
      </w:pPr>
      <w:r>
        <w:rPr>
          <w:rFonts w:asciiTheme="minorHAnsi" w:hAnsiTheme="minorHAnsi" w:cstheme="minorHAnsi"/>
          <w:sz w:val="22"/>
          <w:szCs w:val="22"/>
        </w:rPr>
        <w:t xml:space="preserve">Een </w:t>
      </w:r>
      <w:r w:rsidRPr="00D03117">
        <w:rPr>
          <w:rFonts w:asciiTheme="minorHAnsi" w:hAnsiTheme="minorHAnsi" w:cstheme="minorHAnsi"/>
          <w:sz w:val="22"/>
          <w:szCs w:val="22"/>
        </w:rPr>
        <w:t xml:space="preserve">Regeling van de Staatssecretaris van Economische Zaken van 11 oktober 2016 </w:t>
      </w:r>
      <w:r>
        <w:rPr>
          <w:rFonts w:asciiTheme="minorHAnsi" w:hAnsiTheme="minorHAnsi" w:cstheme="minorHAnsi"/>
          <w:sz w:val="22"/>
          <w:szCs w:val="22"/>
        </w:rPr>
        <w:t>wijzigt</w:t>
      </w:r>
      <w:r w:rsidRPr="00D03117">
        <w:rPr>
          <w:rFonts w:asciiTheme="minorHAnsi" w:hAnsiTheme="minorHAnsi" w:cstheme="minorHAnsi"/>
          <w:sz w:val="22"/>
          <w:szCs w:val="22"/>
        </w:rPr>
        <w:t xml:space="preserve"> diverse ministeriële regelingen, gebaseerd op de Wet dieren, met betrekking tot de bevoegdheden van uitvoeringsinstanties en enkele andere wijzigingen</w:t>
      </w:r>
      <w:r>
        <w:rPr>
          <w:rFonts w:asciiTheme="minorHAnsi" w:hAnsiTheme="minorHAnsi" w:cstheme="minorHAnsi"/>
          <w:sz w:val="22"/>
          <w:szCs w:val="22"/>
        </w:rPr>
        <w:t xml:space="preserve"> (</w:t>
      </w:r>
      <w:proofErr w:type="spellStart"/>
      <w:r>
        <w:rPr>
          <w:rFonts w:asciiTheme="minorHAnsi" w:hAnsiTheme="minorHAnsi" w:cstheme="minorHAnsi"/>
          <w:sz w:val="22"/>
          <w:szCs w:val="22"/>
        </w:rPr>
        <w:fldChar w:fldCharType="begin"/>
      </w:r>
      <w:r>
        <w:rPr>
          <w:rFonts w:asciiTheme="minorHAnsi" w:hAnsiTheme="minorHAnsi" w:cstheme="minorHAnsi"/>
          <w:sz w:val="22"/>
          <w:szCs w:val="22"/>
        </w:rPr>
        <w:instrText xml:space="preserve"> HYPERLINK "https://zoek.officielebekendmakingen.nl/stcrt-2016-55215.html" </w:instrText>
      </w:r>
      <w:r>
        <w:rPr>
          <w:rFonts w:asciiTheme="minorHAnsi" w:hAnsiTheme="minorHAnsi" w:cstheme="minorHAnsi"/>
          <w:sz w:val="22"/>
          <w:szCs w:val="22"/>
        </w:rPr>
      </w:r>
      <w:r>
        <w:rPr>
          <w:rFonts w:asciiTheme="minorHAnsi" w:hAnsiTheme="minorHAnsi" w:cstheme="minorHAnsi"/>
          <w:sz w:val="22"/>
          <w:szCs w:val="22"/>
        </w:rPr>
        <w:fldChar w:fldCharType="separate"/>
      </w:r>
      <w:r w:rsidRPr="00D03117">
        <w:rPr>
          <w:rStyle w:val="Hyperlink"/>
          <w:rFonts w:asciiTheme="minorHAnsi" w:hAnsiTheme="minorHAnsi" w:cstheme="minorHAnsi"/>
          <w:sz w:val="22"/>
          <w:szCs w:val="22"/>
        </w:rPr>
        <w:t>Stcrt</w:t>
      </w:r>
      <w:proofErr w:type="spellEnd"/>
      <w:r w:rsidRPr="00D03117">
        <w:rPr>
          <w:rStyle w:val="Hyperlink"/>
          <w:rFonts w:asciiTheme="minorHAnsi" w:hAnsiTheme="minorHAnsi" w:cstheme="minorHAnsi"/>
          <w:sz w:val="22"/>
          <w:szCs w:val="22"/>
        </w:rPr>
        <w:t>. 2016, nr. 55215</w:t>
      </w:r>
      <w:r>
        <w:rPr>
          <w:rFonts w:asciiTheme="minorHAnsi" w:hAnsiTheme="minorHAnsi" w:cstheme="minorHAnsi"/>
          <w:sz w:val="22"/>
          <w:szCs w:val="22"/>
        </w:rPr>
        <w:fldChar w:fldCharType="end"/>
      </w:r>
      <w:r>
        <w:rPr>
          <w:rFonts w:asciiTheme="minorHAnsi" w:hAnsiTheme="minorHAnsi" w:cstheme="minorHAnsi"/>
          <w:sz w:val="22"/>
          <w:szCs w:val="22"/>
        </w:rPr>
        <w:t>)</w:t>
      </w:r>
    </w:p>
    <w:p w:rsidR="00DB01E2" w:rsidRDefault="00DB01E2" w:rsidP="00F352AC">
      <w:pPr>
        <w:rPr>
          <w:rFonts w:asciiTheme="minorHAnsi" w:hAnsiTheme="minorHAnsi" w:cstheme="minorHAnsi"/>
          <w:sz w:val="22"/>
          <w:szCs w:val="22"/>
        </w:rPr>
      </w:pPr>
    </w:p>
    <w:p w:rsidR="00F120AA" w:rsidRPr="00F120AA" w:rsidRDefault="00F120AA" w:rsidP="00F352AC">
      <w:pPr>
        <w:rPr>
          <w:rFonts w:asciiTheme="minorHAnsi" w:hAnsiTheme="minorHAnsi" w:cstheme="minorHAnsi"/>
          <w:i/>
          <w:sz w:val="22"/>
          <w:szCs w:val="22"/>
        </w:rPr>
      </w:pPr>
      <w:r w:rsidRPr="00F120AA">
        <w:rPr>
          <w:rFonts w:asciiTheme="minorHAnsi" w:hAnsiTheme="minorHAnsi" w:cstheme="minorHAnsi"/>
          <w:i/>
          <w:sz w:val="22"/>
          <w:szCs w:val="22"/>
        </w:rPr>
        <w:t>Verwaarlozing</w:t>
      </w:r>
    </w:p>
    <w:p w:rsidR="00F120AA" w:rsidRDefault="00F120AA" w:rsidP="00F352AC">
      <w:pPr>
        <w:rPr>
          <w:rFonts w:asciiTheme="minorHAnsi" w:hAnsiTheme="minorHAnsi" w:cstheme="minorHAnsi"/>
          <w:sz w:val="22"/>
          <w:szCs w:val="22"/>
        </w:rPr>
      </w:pPr>
      <w:r w:rsidRPr="00F120AA">
        <w:rPr>
          <w:rFonts w:asciiTheme="minorHAnsi" w:hAnsiTheme="minorHAnsi" w:cstheme="minorHAnsi"/>
          <w:sz w:val="22"/>
          <w:szCs w:val="22"/>
        </w:rPr>
        <w:t>De rechtbank veroordeelt verdachte voor overtreding van een voorschrift gesteld bij artikel 37 van de Gezondheids- en welzijnswet voor dieren meermalen gepleegd tot een taakstraf voor de duur van 120 uren subsidiair 60 dagen hechtenis en tot een gevangenisstraf voor de duur van 4 maanden geheel voorwaardelijk met een proeftijd van 3 jaren.</w:t>
      </w:r>
      <w:r>
        <w:rPr>
          <w:rFonts w:asciiTheme="minorHAnsi" w:hAnsiTheme="minorHAnsi" w:cstheme="minorHAnsi"/>
          <w:sz w:val="22"/>
          <w:szCs w:val="22"/>
        </w:rPr>
        <w:t xml:space="preserve"> Beroep op het ne bis in idem beginsel verworpen. Rb Oost-Brabant 17-10-2016, </w:t>
      </w:r>
      <w:hyperlink r:id="rId13" w:history="1">
        <w:r w:rsidRPr="00F120AA">
          <w:rPr>
            <w:rStyle w:val="Hyperlink"/>
            <w:rFonts w:asciiTheme="minorHAnsi" w:hAnsiTheme="minorHAnsi" w:cstheme="minorHAnsi"/>
            <w:sz w:val="22"/>
            <w:szCs w:val="22"/>
          </w:rPr>
          <w:t>ECLI:NL:RBOBR:2016:5716</w:t>
        </w:r>
      </w:hyperlink>
      <w:r w:rsidR="00BC1D41">
        <w:rPr>
          <w:rFonts w:asciiTheme="minorHAnsi" w:hAnsiTheme="minorHAnsi" w:cstheme="minorHAnsi"/>
          <w:sz w:val="22"/>
          <w:szCs w:val="22"/>
        </w:rPr>
        <w:t xml:space="preserve">. Ook Hof Amsterdam </w:t>
      </w:r>
      <w:r w:rsidR="00EB71DC">
        <w:rPr>
          <w:rFonts w:asciiTheme="minorHAnsi" w:hAnsiTheme="minorHAnsi" w:cstheme="minorHAnsi"/>
          <w:sz w:val="22"/>
          <w:szCs w:val="22"/>
        </w:rPr>
        <w:t xml:space="preserve">19-20-2016, </w:t>
      </w:r>
      <w:hyperlink r:id="rId14" w:history="1">
        <w:r w:rsidR="00EB71DC" w:rsidRPr="00EB71DC">
          <w:rPr>
            <w:rStyle w:val="Hyperlink"/>
            <w:rFonts w:asciiTheme="minorHAnsi" w:hAnsiTheme="minorHAnsi" w:cstheme="minorHAnsi"/>
            <w:sz w:val="22"/>
            <w:szCs w:val="22"/>
          </w:rPr>
          <w:t>ECLI:NL:GHAMS:2016:4152</w:t>
        </w:r>
      </w:hyperlink>
      <w:r w:rsidR="00EB71DC">
        <w:rPr>
          <w:rFonts w:asciiTheme="minorHAnsi" w:hAnsiTheme="minorHAnsi" w:cstheme="minorHAnsi"/>
          <w:sz w:val="22"/>
          <w:szCs w:val="22"/>
        </w:rPr>
        <w:t>, beschouwt</w:t>
      </w:r>
      <w:r w:rsidR="00BC1D41" w:rsidRPr="00BC1D41">
        <w:rPr>
          <w:rFonts w:asciiTheme="minorHAnsi" w:hAnsiTheme="minorHAnsi" w:cstheme="minorHAnsi"/>
          <w:sz w:val="22"/>
          <w:szCs w:val="22"/>
        </w:rPr>
        <w:t xml:space="preserve"> de </w:t>
      </w:r>
      <w:proofErr w:type="spellStart"/>
      <w:r w:rsidR="00BC1D41" w:rsidRPr="00BC1D41">
        <w:rPr>
          <w:rFonts w:asciiTheme="minorHAnsi" w:hAnsiTheme="minorHAnsi" w:cstheme="minorHAnsi"/>
          <w:sz w:val="22"/>
          <w:szCs w:val="22"/>
        </w:rPr>
        <w:t>randvoorwaardenkorting</w:t>
      </w:r>
      <w:proofErr w:type="spellEnd"/>
      <w:r w:rsidR="00BC1D41" w:rsidRPr="00BC1D41">
        <w:rPr>
          <w:rFonts w:asciiTheme="minorHAnsi" w:hAnsiTheme="minorHAnsi" w:cstheme="minorHAnsi"/>
          <w:sz w:val="22"/>
          <w:szCs w:val="22"/>
        </w:rPr>
        <w:t xml:space="preserve"> </w:t>
      </w:r>
      <w:r w:rsidR="00EB71DC">
        <w:rPr>
          <w:rFonts w:asciiTheme="minorHAnsi" w:hAnsiTheme="minorHAnsi" w:cstheme="minorHAnsi"/>
          <w:sz w:val="22"/>
          <w:szCs w:val="22"/>
        </w:rPr>
        <w:t>“a</w:t>
      </w:r>
      <w:r w:rsidR="00BC1D41" w:rsidRPr="00BC1D41">
        <w:rPr>
          <w:rFonts w:asciiTheme="minorHAnsi" w:hAnsiTheme="minorHAnsi" w:cstheme="minorHAnsi"/>
          <w:sz w:val="22"/>
          <w:szCs w:val="22"/>
        </w:rPr>
        <w:t xml:space="preserve">ls een administratief instrument, dat een element van de steunregeling vormt en een goed financieel beheer van de </w:t>
      </w:r>
      <w:r w:rsidR="00BC1D41" w:rsidRPr="00BC1D41">
        <w:rPr>
          <w:rFonts w:asciiTheme="minorHAnsi" w:hAnsiTheme="minorHAnsi" w:cstheme="minorHAnsi"/>
          <w:sz w:val="22"/>
          <w:szCs w:val="22"/>
        </w:rPr>
        <w:lastRenderedPageBreak/>
        <w:t xml:space="preserve">subsidies van de Unie moet verzekeren. Dat met de </w:t>
      </w:r>
      <w:proofErr w:type="spellStart"/>
      <w:r w:rsidR="00BC1D41" w:rsidRPr="00BC1D41">
        <w:rPr>
          <w:rFonts w:asciiTheme="minorHAnsi" w:hAnsiTheme="minorHAnsi" w:cstheme="minorHAnsi"/>
          <w:sz w:val="22"/>
          <w:szCs w:val="22"/>
        </w:rPr>
        <w:t>randvoorwaardenkorting</w:t>
      </w:r>
      <w:proofErr w:type="spellEnd"/>
      <w:r w:rsidR="00BC1D41" w:rsidRPr="00BC1D41">
        <w:rPr>
          <w:rFonts w:asciiTheme="minorHAnsi" w:hAnsiTheme="minorHAnsi" w:cstheme="minorHAnsi"/>
          <w:sz w:val="22"/>
          <w:szCs w:val="22"/>
        </w:rPr>
        <w:t xml:space="preserve"> een afschrikkend effect wordt beoogd en dat de korting hoger is in geval van opzet, doet daaraan – anders dan de raadsman stelt – naar het oordeel van het hof niet af, nu de korting er nooit toe kan leiden dat de subsidieverkrijger in een slechtere financiële positie komt te verkeren dan zonder subsidieverlening.</w:t>
      </w:r>
      <w:r w:rsidR="00EB71DC">
        <w:rPr>
          <w:rFonts w:asciiTheme="minorHAnsi" w:hAnsiTheme="minorHAnsi" w:cstheme="minorHAnsi"/>
          <w:sz w:val="22"/>
          <w:szCs w:val="22"/>
        </w:rPr>
        <w:t>” Ook hier geen ne bis in idem.</w:t>
      </w:r>
    </w:p>
    <w:p w:rsidR="00F120AA" w:rsidRDefault="00F120AA" w:rsidP="00F352AC">
      <w:pPr>
        <w:rPr>
          <w:rFonts w:asciiTheme="minorHAnsi" w:hAnsiTheme="minorHAnsi" w:cstheme="minorHAnsi"/>
          <w:sz w:val="22"/>
          <w:szCs w:val="22"/>
        </w:rPr>
      </w:pPr>
    </w:p>
    <w:p w:rsidR="00EB71DC" w:rsidRPr="00EB71DC" w:rsidRDefault="00EB71DC" w:rsidP="00F352AC">
      <w:pPr>
        <w:rPr>
          <w:rFonts w:asciiTheme="minorHAnsi" w:hAnsiTheme="minorHAnsi" w:cstheme="minorHAnsi"/>
          <w:i/>
          <w:sz w:val="22"/>
          <w:szCs w:val="22"/>
        </w:rPr>
      </w:pPr>
      <w:r w:rsidRPr="00EB71DC">
        <w:rPr>
          <w:rFonts w:asciiTheme="minorHAnsi" w:hAnsiTheme="minorHAnsi" w:cstheme="minorHAnsi"/>
          <w:i/>
          <w:sz w:val="22"/>
          <w:szCs w:val="22"/>
        </w:rPr>
        <w:t>Varkensbesluit</w:t>
      </w:r>
    </w:p>
    <w:p w:rsidR="00EB71DC" w:rsidRDefault="00EB71DC" w:rsidP="00F352AC">
      <w:pPr>
        <w:rPr>
          <w:rFonts w:asciiTheme="minorHAnsi" w:hAnsiTheme="minorHAnsi" w:cstheme="minorHAnsi"/>
          <w:sz w:val="22"/>
          <w:szCs w:val="22"/>
        </w:rPr>
      </w:pPr>
      <w:r w:rsidRPr="00EB71DC">
        <w:rPr>
          <w:rFonts w:asciiTheme="minorHAnsi" w:hAnsiTheme="minorHAnsi" w:cstheme="minorHAnsi"/>
          <w:sz w:val="22"/>
          <w:szCs w:val="22"/>
        </w:rPr>
        <w:t>Naar het voorlopige oordeel van de voorzieningenrechter is het bestreden besluit onvoldoende zorgvuldig voorbereid, onvoldoende gemotiveerd en is bij het vaststellen van de begunstigingstermijn onvoldoende rekening gehouden met de belangen van verzoeker in verhouding tot het met handhaving te dienen belang. Gelet hierop moet zeer worden betwijfeld of de in het bestreden besluit opgenomen begunstigingstermijn in de bodemprocedure stand zal kunnen houden.</w:t>
      </w:r>
      <w:r>
        <w:rPr>
          <w:rFonts w:asciiTheme="minorHAnsi" w:hAnsiTheme="minorHAnsi" w:cstheme="minorHAnsi"/>
          <w:sz w:val="22"/>
          <w:szCs w:val="22"/>
        </w:rPr>
        <w:t xml:space="preserve">  CBB 13-10-2016, </w:t>
      </w:r>
      <w:hyperlink r:id="rId15" w:history="1">
        <w:r w:rsidRPr="00EB71DC">
          <w:rPr>
            <w:rStyle w:val="Hyperlink"/>
            <w:rFonts w:asciiTheme="minorHAnsi" w:hAnsiTheme="minorHAnsi" w:cstheme="minorHAnsi"/>
            <w:sz w:val="22"/>
            <w:szCs w:val="22"/>
          </w:rPr>
          <w:t>ECLI:NL:CBB:2016:310</w:t>
        </w:r>
      </w:hyperlink>
    </w:p>
    <w:p w:rsidR="00EB71DC" w:rsidRPr="000F3C50" w:rsidRDefault="00EB71DC" w:rsidP="00F352AC">
      <w:pPr>
        <w:rPr>
          <w:rFonts w:asciiTheme="minorHAnsi" w:hAnsiTheme="minorHAnsi" w:cstheme="minorHAnsi"/>
          <w:sz w:val="22"/>
          <w:szCs w:val="22"/>
        </w:rPr>
      </w:pPr>
    </w:p>
    <w:p w:rsidR="00F352AC" w:rsidRPr="00F352AC" w:rsidRDefault="00F352AC" w:rsidP="00F352AC">
      <w:pPr>
        <w:rPr>
          <w:rFonts w:asciiTheme="minorHAnsi" w:hAnsiTheme="minorHAnsi" w:cstheme="minorHAnsi"/>
          <w:b/>
          <w:sz w:val="24"/>
          <w:szCs w:val="24"/>
        </w:rPr>
      </w:pPr>
      <w:r w:rsidRPr="00F352AC">
        <w:rPr>
          <w:rFonts w:asciiTheme="minorHAnsi" w:hAnsiTheme="minorHAnsi" w:cstheme="minorHAnsi"/>
          <w:b/>
          <w:sz w:val="24"/>
          <w:szCs w:val="24"/>
        </w:rPr>
        <w:t>Planten</w:t>
      </w:r>
    </w:p>
    <w:p w:rsidR="00F352AC" w:rsidRDefault="00F352AC" w:rsidP="00F352AC">
      <w:pPr>
        <w:rPr>
          <w:rFonts w:asciiTheme="minorHAnsi" w:hAnsiTheme="minorHAnsi" w:cstheme="minorHAnsi"/>
          <w:sz w:val="22"/>
          <w:szCs w:val="22"/>
        </w:rPr>
      </w:pPr>
    </w:p>
    <w:p w:rsidR="00592F3D" w:rsidRPr="00592F3D" w:rsidRDefault="00592F3D" w:rsidP="00F352AC">
      <w:pPr>
        <w:rPr>
          <w:rFonts w:asciiTheme="minorHAnsi" w:hAnsiTheme="minorHAnsi" w:cstheme="minorHAnsi"/>
          <w:i/>
          <w:sz w:val="22"/>
          <w:szCs w:val="22"/>
        </w:rPr>
      </w:pPr>
      <w:r w:rsidRPr="00592F3D">
        <w:rPr>
          <w:rFonts w:asciiTheme="minorHAnsi" w:hAnsiTheme="minorHAnsi" w:cstheme="minorHAnsi"/>
          <w:i/>
          <w:sz w:val="22"/>
          <w:szCs w:val="22"/>
        </w:rPr>
        <w:t>Biotechnologie</w:t>
      </w:r>
    </w:p>
    <w:p w:rsidR="00592F3D" w:rsidRPr="00592F3D" w:rsidRDefault="00592F3D" w:rsidP="00592F3D">
      <w:pPr>
        <w:rPr>
          <w:rFonts w:asciiTheme="minorHAnsi" w:hAnsiTheme="minorHAnsi" w:cstheme="minorHAnsi"/>
          <w:sz w:val="22"/>
          <w:szCs w:val="22"/>
        </w:rPr>
      </w:pPr>
      <w:r>
        <w:rPr>
          <w:rFonts w:asciiTheme="minorHAnsi" w:hAnsiTheme="minorHAnsi" w:cstheme="minorHAnsi"/>
          <w:sz w:val="22"/>
          <w:szCs w:val="22"/>
        </w:rPr>
        <w:t xml:space="preserve">Het kabinetsbeleid ten aanzien van genetisch gemodificeerde gewassen is “ja, mits veilig voor mens, dier en milieu”. In </w:t>
      </w:r>
      <w:hyperlink r:id="rId16" w:history="1">
        <w:r w:rsidRPr="00592F3D">
          <w:rPr>
            <w:rStyle w:val="Hyperlink"/>
            <w:rFonts w:asciiTheme="minorHAnsi" w:hAnsiTheme="minorHAnsi" w:cstheme="minorHAnsi"/>
            <w:sz w:val="22"/>
            <w:szCs w:val="22"/>
          </w:rPr>
          <w:t>Kamerstukken II, 2016/17, 27428, nr. 332</w:t>
        </w:r>
      </w:hyperlink>
      <w:r>
        <w:rPr>
          <w:rFonts w:asciiTheme="minorHAnsi" w:hAnsiTheme="minorHAnsi" w:cstheme="minorHAnsi"/>
          <w:sz w:val="22"/>
          <w:szCs w:val="22"/>
        </w:rPr>
        <w:t xml:space="preserve"> wordt een nationaal afwegingskader gepresenteerd voor de toelating van de teelt van deze gewassen. </w:t>
      </w:r>
      <w:r w:rsidRPr="00592F3D">
        <w:rPr>
          <w:rFonts w:asciiTheme="minorHAnsi" w:hAnsiTheme="minorHAnsi" w:cstheme="minorHAnsi"/>
          <w:sz w:val="22"/>
          <w:szCs w:val="22"/>
        </w:rPr>
        <w:t>Het gaat om de volgende elementen:</w:t>
      </w:r>
    </w:p>
    <w:p w:rsidR="00592F3D" w:rsidRPr="00592F3D" w:rsidRDefault="00592F3D" w:rsidP="00592F3D">
      <w:pPr>
        <w:rPr>
          <w:rFonts w:asciiTheme="minorHAnsi" w:hAnsiTheme="minorHAnsi" w:cstheme="minorHAnsi"/>
          <w:sz w:val="22"/>
          <w:szCs w:val="22"/>
        </w:rPr>
      </w:pPr>
      <w:r w:rsidRPr="00592F3D">
        <w:rPr>
          <w:rFonts w:asciiTheme="minorHAnsi" w:hAnsiTheme="minorHAnsi" w:cstheme="minorHAnsi"/>
          <w:sz w:val="22"/>
          <w:szCs w:val="22"/>
        </w:rPr>
        <w:t>• keuzevrijheid waarborgen voor burgers of agrariërs,</w:t>
      </w:r>
    </w:p>
    <w:p w:rsidR="00592F3D" w:rsidRPr="00592F3D" w:rsidRDefault="00592F3D" w:rsidP="00592F3D">
      <w:pPr>
        <w:rPr>
          <w:rFonts w:asciiTheme="minorHAnsi" w:hAnsiTheme="minorHAnsi" w:cstheme="minorHAnsi"/>
          <w:sz w:val="22"/>
          <w:szCs w:val="22"/>
        </w:rPr>
      </w:pPr>
      <w:r w:rsidRPr="00592F3D">
        <w:rPr>
          <w:rFonts w:asciiTheme="minorHAnsi" w:hAnsiTheme="minorHAnsi" w:cstheme="minorHAnsi"/>
          <w:sz w:val="22"/>
          <w:szCs w:val="22"/>
        </w:rPr>
        <w:t>• nationaal co-existentiebeleid,</w:t>
      </w:r>
    </w:p>
    <w:p w:rsidR="00592F3D" w:rsidRPr="00592F3D" w:rsidRDefault="00592F3D" w:rsidP="00592F3D">
      <w:pPr>
        <w:rPr>
          <w:rFonts w:asciiTheme="minorHAnsi" w:hAnsiTheme="minorHAnsi" w:cstheme="minorHAnsi"/>
          <w:sz w:val="22"/>
          <w:szCs w:val="22"/>
        </w:rPr>
      </w:pPr>
      <w:r w:rsidRPr="00592F3D">
        <w:rPr>
          <w:rFonts w:asciiTheme="minorHAnsi" w:hAnsiTheme="minorHAnsi" w:cstheme="minorHAnsi"/>
          <w:sz w:val="22"/>
          <w:szCs w:val="22"/>
        </w:rPr>
        <w:t>• gewasbeschermingsmiddelenbeleid,</w:t>
      </w:r>
    </w:p>
    <w:p w:rsidR="00592F3D" w:rsidRPr="00592F3D" w:rsidRDefault="00592F3D" w:rsidP="00592F3D">
      <w:pPr>
        <w:rPr>
          <w:rFonts w:asciiTheme="minorHAnsi" w:hAnsiTheme="minorHAnsi" w:cstheme="minorHAnsi"/>
          <w:sz w:val="22"/>
          <w:szCs w:val="22"/>
        </w:rPr>
      </w:pPr>
      <w:r w:rsidRPr="00592F3D">
        <w:rPr>
          <w:rFonts w:asciiTheme="minorHAnsi" w:hAnsiTheme="minorHAnsi" w:cstheme="minorHAnsi"/>
          <w:sz w:val="22"/>
          <w:szCs w:val="22"/>
        </w:rPr>
        <w:t xml:space="preserve">• economische gevolgen van </w:t>
      </w:r>
      <w:proofErr w:type="spellStart"/>
      <w:r w:rsidRPr="00592F3D">
        <w:rPr>
          <w:rFonts w:asciiTheme="minorHAnsi" w:hAnsiTheme="minorHAnsi" w:cstheme="minorHAnsi"/>
          <w:sz w:val="22"/>
          <w:szCs w:val="22"/>
        </w:rPr>
        <w:t>gg</w:t>
      </w:r>
      <w:proofErr w:type="spellEnd"/>
      <w:r w:rsidRPr="00592F3D">
        <w:rPr>
          <w:rFonts w:asciiTheme="minorHAnsi" w:hAnsiTheme="minorHAnsi" w:cstheme="minorHAnsi"/>
          <w:sz w:val="22"/>
          <w:szCs w:val="22"/>
        </w:rPr>
        <w:t>-teelt voor biologische en reguliere telers,</w:t>
      </w:r>
    </w:p>
    <w:p w:rsidR="00592F3D" w:rsidRPr="00592F3D" w:rsidRDefault="00592F3D" w:rsidP="00592F3D">
      <w:pPr>
        <w:rPr>
          <w:rFonts w:asciiTheme="minorHAnsi" w:hAnsiTheme="minorHAnsi" w:cstheme="minorHAnsi"/>
          <w:sz w:val="22"/>
          <w:szCs w:val="22"/>
        </w:rPr>
      </w:pPr>
      <w:r w:rsidRPr="00592F3D">
        <w:rPr>
          <w:rFonts w:asciiTheme="minorHAnsi" w:hAnsiTheme="minorHAnsi" w:cstheme="minorHAnsi"/>
          <w:sz w:val="22"/>
          <w:szCs w:val="22"/>
        </w:rPr>
        <w:t>• maatschappelijke acceptatie, en</w:t>
      </w:r>
    </w:p>
    <w:p w:rsidR="00592F3D" w:rsidRDefault="00592F3D" w:rsidP="00592F3D">
      <w:pPr>
        <w:rPr>
          <w:rFonts w:asciiTheme="minorHAnsi" w:hAnsiTheme="minorHAnsi" w:cstheme="minorHAnsi"/>
          <w:sz w:val="22"/>
          <w:szCs w:val="22"/>
        </w:rPr>
      </w:pPr>
      <w:r w:rsidRPr="00592F3D">
        <w:rPr>
          <w:rFonts w:asciiTheme="minorHAnsi" w:hAnsiTheme="minorHAnsi" w:cstheme="minorHAnsi"/>
          <w:sz w:val="22"/>
          <w:szCs w:val="22"/>
        </w:rPr>
        <w:t xml:space="preserve">• de kansen die het </w:t>
      </w:r>
      <w:proofErr w:type="spellStart"/>
      <w:r w:rsidRPr="00592F3D">
        <w:rPr>
          <w:rFonts w:asciiTheme="minorHAnsi" w:hAnsiTheme="minorHAnsi" w:cstheme="minorHAnsi"/>
          <w:sz w:val="22"/>
          <w:szCs w:val="22"/>
        </w:rPr>
        <w:t>gg</w:t>
      </w:r>
      <w:proofErr w:type="spellEnd"/>
      <w:r w:rsidRPr="00592F3D">
        <w:rPr>
          <w:rFonts w:asciiTheme="minorHAnsi" w:hAnsiTheme="minorHAnsi" w:cstheme="minorHAnsi"/>
          <w:sz w:val="22"/>
          <w:szCs w:val="22"/>
        </w:rPr>
        <w:t>-gewas biedt, zoals op het gebied van duurzaamheid, voedselzekerheid en consumentenvoordelen.</w:t>
      </w:r>
    </w:p>
    <w:p w:rsidR="00592F3D" w:rsidRDefault="00592F3D" w:rsidP="00F352AC">
      <w:pPr>
        <w:rPr>
          <w:rFonts w:asciiTheme="minorHAnsi" w:hAnsiTheme="minorHAnsi" w:cstheme="minorHAnsi"/>
          <w:sz w:val="22"/>
          <w:szCs w:val="22"/>
        </w:rPr>
      </w:pPr>
      <w:r>
        <w:rPr>
          <w:rFonts w:asciiTheme="minorHAnsi" w:hAnsiTheme="minorHAnsi" w:cstheme="minorHAnsi"/>
          <w:sz w:val="22"/>
          <w:szCs w:val="22"/>
        </w:rPr>
        <w:t>Dit valt volgens de brief binnen de Europese kaders.</w:t>
      </w:r>
    </w:p>
    <w:p w:rsidR="00EB71DC" w:rsidRDefault="00EB71DC" w:rsidP="00F352AC">
      <w:pPr>
        <w:rPr>
          <w:rFonts w:asciiTheme="minorHAnsi" w:hAnsiTheme="minorHAnsi" w:cstheme="minorHAnsi"/>
          <w:b/>
          <w:sz w:val="24"/>
          <w:szCs w:val="24"/>
        </w:rPr>
      </w:pPr>
    </w:p>
    <w:p w:rsidR="00F352AC" w:rsidRPr="00F352AC" w:rsidRDefault="00F352AC" w:rsidP="00F352AC">
      <w:pPr>
        <w:rPr>
          <w:rFonts w:asciiTheme="minorHAnsi" w:hAnsiTheme="minorHAnsi" w:cstheme="minorHAnsi"/>
          <w:b/>
          <w:sz w:val="24"/>
          <w:szCs w:val="24"/>
        </w:rPr>
      </w:pPr>
      <w:r w:rsidRPr="00F352AC">
        <w:rPr>
          <w:rFonts w:asciiTheme="minorHAnsi" w:hAnsiTheme="minorHAnsi" w:cstheme="minorHAnsi"/>
          <w:b/>
          <w:sz w:val="24"/>
          <w:szCs w:val="24"/>
        </w:rPr>
        <w:t>Milieurecht</w:t>
      </w:r>
    </w:p>
    <w:p w:rsidR="00F352AC" w:rsidRDefault="00F352AC" w:rsidP="00F352AC">
      <w:pPr>
        <w:rPr>
          <w:rFonts w:asciiTheme="minorHAnsi" w:hAnsiTheme="minorHAnsi" w:cstheme="minorHAnsi"/>
          <w:sz w:val="22"/>
          <w:szCs w:val="22"/>
        </w:rPr>
      </w:pPr>
    </w:p>
    <w:p w:rsidR="00592F3D" w:rsidRDefault="00592F3D" w:rsidP="00F352AC">
      <w:pPr>
        <w:rPr>
          <w:rFonts w:asciiTheme="minorHAnsi" w:hAnsiTheme="minorHAnsi" w:cstheme="minorHAnsi"/>
          <w:i/>
          <w:sz w:val="22"/>
          <w:szCs w:val="22"/>
        </w:rPr>
      </w:pPr>
      <w:r>
        <w:rPr>
          <w:rFonts w:asciiTheme="minorHAnsi" w:hAnsiTheme="minorHAnsi" w:cstheme="minorHAnsi"/>
          <w:i/>
          <w:sz w:val="22"/>
          <w:szCs w:val="22"/>
        </w:rPr>
        <w:t>Fosfaatrechten</w:t>
      </w:r>
    </w:p>
    <w:p w:rsidR="00592F3D" w:rsidRPr="00592F3D" w:rsidRDefault="00592F3D" w:rsidP="00F352AC">
      <w:pPr>
        <w:rPr>
          <w:rFonts w:asciiTheme="minorHAnsi" w:hAnsiTheme="minorHAnsi" w:cstheme="minorHAnsi"/>
          <w:sz w:val="22"/>
          <w:szCs w:val="22"/>
        </w:rPr>
      </w:pPr>
      <w:r>
        <w:rPr>
          <w:rFonts w:asciiTheme="minorHAnsi" w:hAnsiTheme="minorHAnsi" w:cstheme="minorHAnsi"/>
          <w:sz w:val="22"/>
          <w:szCs w:val="22"/>
        </w:rPr>
        <w:t xml:space="preserve">In de Nota van Wijzigingen wordt aangekondigd dat de invoering van het stelsel wordt uitgesteld tot 1 januari 2018. In de wetstekst worden enkele wijzigingen aangebracht. In </w:t>
      </w:r>
      <w:proofErr w:type="spellStart"/>
      <w:r>
        <w:rPr>
          <w:rFonts w:asciiTheme="minorHAnsi" w:hAnsiTheme="minorHAnsi" w:cstheme="minorHAnsi"/>
          <w:sz w:val="22"/>
          <w:szCs w:val="22"/>
        </w:rPr>
        <w:t>detoelichting</w:t>
      </w:r>
      <w:proofErr w:type="spellEnd"/>
      <w:r>
        <w:rPr>
          <w:rFonts w:asciiTheme="minorHAnsi" w:hAnsiTheme="minorHAnsi" w:cstheme="minorHAnsi"/>
          <w:sz w:val="22"/>
          <w:szCs w:val="22"/>
        </w:rPr>
        <w:t xml:space="preserve"> wordt uitvoerig ingegaan op de reden van dit uitstel: het feit dat de Europese Commissie van mening is dat sprake is van ongeoorloofde staatssteun (door rechten met waarde uit te delen) terwijl nog niet voldaan is aan de Europese norm voor derogatie. (</w:t>
      </w:r>
      <w:hyperlink r:id="rId17" w:history="1">
        <w:r w:rsidRPr="00592F3D">
          <w:rPr>
            <w:rStyle w:val="Hyperlink"/>
            <w:rFonts w:asciiTheme="minorHAnsi" w:hAnsiTheme="minorHAnsi" w:cstheme="minorHAnsi"/>
            <w:sz w:val="22"/>
            <w:szCs w:val="22"/>
          </w:rPr>
          <w:t>Kamerstukken II 2016/17, 34532, nr. 19</w:t>
        </w:r>
      </w:hyperlink>
      <w:r>
        <w:rPr>
          <w:rFonts w:asciiTheme="minorHAnsi" w:hAnsiTheme="minorHAnsi" w:cstheme="minorHAnsi"/>
          <w:sz w:val="22"/>
          <w:szCs w:val="22"/>
        </w:rPr>
        <w:t>).</w:t>
      </w:r>
      <w:r w:rsidR="001D311B">
        <w:rPr>
          <w:rFonts w:asciiTheme="minorHAnsi" w:hAnsiTheme="minorHAnsi" w:cstheme="minorHAnsi"/>
          <w:sz w:val="22"/>
          <w:szCs w:val="22"/>
        </w:rPr>
        <w:t xml:space="preserve"> De vaste commissie voor Economische Zaken heeft een nader verslag uitgebracht (</w:t>
      </w:r>
      <w:hyperlink r:id="rId18" w:history="1">
        <w:r w:rsidR="001D311B" w:rsidRPr="001D311B">
          <w:rPr>
            <w:rStyle w:val="Hyperlink"/>
            <w:rFonts w:asciiTheme="minorHAnsi" w:hAnsiTheme="minorHAnsi" w:cstheme="minorHAnsi"/>
            <w:sz w:val="22"/>
            <w:szCs w:val="22"/>
          </w:rPr>
          <w:t>nr. 23</w:t>
        </w:r>
      </w:hyperlink>
      <w:r w:rsidR="001D311B">
        <w:rPr>
          <w:rFonts w:asciiTheme="minorHAnsi" w:hAnsiTheme="minorHAnsi" w:cstheme="minorHAnsi"/>
          <w:sz w:val="22"/>
          <w:szCs w:val="22"/>
        </w:rPr>
        <w:t>)</w:t>
      </w:r>
      <w:r w:rsidR="003F1750">
        <w:rPr>
          <w:rFonts w:asciiTheme="minorHAnsi" w:hAnsiTheme="minorHAnsi" w:cstheme="minorHAnsi"/>
          <w:sz w:val="22"/>
          <w:szCs w:val="22"/>
        </w:rPr>
        <w:t>. De kamer had nog gevraagd naar het advies van de landsadvocaat over een eerdere referentiedatum dan 2 juli 2015. Dat krijgt men niet, maar wel een samenvatting: “</w:t>
      </w:r>
      <w:r w:rsidR="003F1750" w:rsidRPr="003F1750">
        <w:rPr>
          <w:rFonts w:asciiTheme="minorHAnsi" w:hAnsiTheme="minorHAnsi" w:cstheme="minorHAnsi"/>
          <w:sz w:val="22"/>
          <w:szCs w:val="22"/>
        </w:rPr>
        <w:t xml:space="preserve">De landsadvocaat heeft de houdbaarheid onderzocht van een beleidsvariant waarbij het referentiepunt om de fosfaatrechten over de melkveehouderijen te verdelen ligt op een tijdstip verder in het verleden dan 2 juli 2015. Uit de analyse van de landsadvocaat volgt dat deze variant aanzienlijke kans heeft bij de rechter te stranden op de fair </w:t>
      </w:r>
      <w:proofErr w:type="spellStart"/>
      <w:r w:rsidR="003F1750" w:rsidRPr="003F1750">
        <w:rPr>
          <w:rFonts w:asciiTheme="minorHAnsi" w:hAnsiTheme="minorHAnsi" w:cstheme="minorHAnsi"/>
          <w:sz w:val="22"/>
          <w:szCs w:val="22"/>
        </w:rPr>
        <w:t>balance</w:t>
      </w:r>
      <w:proofErr w:type="spellEnd"/>
      <w:r w:rsidR="003F1750" w:rsidRPr="003F1750">
        <w:rPr>
          <w:rFonts w:asciiTheme="minorHAnsi" w:hAnsiTheme="minorHAnsi" w:cstheme="minorHAnsi"/>
          <w:sz w:val="22"/>
          <w:szCs w:val="22"/>
        </w:rPr>
        <w:t xml:space="preserve"> toets van artikel 1 EP EVRM. Vóór de aankondiging in de brief aan uw Kamer van 2 juli 2015 (Kamerstuk 33 979, nr. 98) was voor de sector onvoldoende voorzienbaar dat voor melkkoeien fosfaatrechten zouden worden ingevoerd. De risicomarges zijn in dit geval zeer smal vanwege de derogatie en daarom wordt aanbevolen te kiezen voor het referentiepunt 2 juli 2015.</w:t>
      </w:r>
      <w:r w:rsidR="003F1750">
        <w:rPr>
          <w:rFonts w:asciiTheme="minorHAnsi" w:hAnsiTheme="minorHAnsi" w:cstheme="minorHAnsi"/>
          <w:sz w:val="22"/>
          <w:szCs w:val="22"/>
        </w:rPr>
        <w:t>” (</w:t>
      </w:r>
      <w:hyperlink r:id="rId19" w:history="1">
        <w:r w:rsidR="003F1750" w:rsidRPr="003F1750">
          <w:rPr>
            <w:rStyle w:val="Hyperlink"/>
            <w:rFonts w:asciiTheme="minorHAnsi" w:hAnsiTheme="minorHAnsi" w:cstheme="minorHAnsi"/>
            <w:sz w:val="22"/>
            <w:szCs w:val="22"/>
          </w:rPr>
          <w:t>nr. 24</w:t>
        </w:r>
      </w:hyperlink>
      <w:r w:rsidR="003F1750">
        <w:rPr>
          <w:rFonts w:asciiTheme="minorHAnsi" w:hAnsiTheme="minorHAnsi" w:cstheme="minorHAnsi"/>
          <w:sz w:val="22"/>
          <w:szCs w:val="22"/>
        </w:rPr>
        <w:t>)</w:t>
      </w:r>
      <w:r w:rsidR="00F120AA">
        <w:rPr>
          <w:rFonts w:asciiTheme="minorHAnsi" w:hAnsiTheme="minorHAnsi" w:cstheme="minorHAnsi"/>
          <w:sz w:val="22"/>
          <w:szCs w:val="22"/>
        </w:rPr>
        <w:t>.</w:t>
      </w:r>
    </w:p>
    <w:p w:rsidR="00592F3D" w:rsidRDefault="00592F3D" w:rsidP="00F352AC">
      <w:pPr>
        <w:rPr>
          <w:rFonts w:asciiTheme="minorHAnsi" w:hAnsiTheme="minorHAnsi" w:cstheme="minorHAnsi"/>
          <w:sz w:val="22"/>
          <w:szCs w:val="22"/>
        </w:rPr>
      </w:pPr>
    </w:p>
    <w:p w:rsidR="00DD489D" w:rsidRPr="00DD489D" w:rsidRDefault="00DD489D" w:rsidP="00F352AC">
      <w:pPr>
        <w:rPr>
          <w:rFonts w:asciiTheme="minorHAnsi" w:hAnsiTheme="minorHAnsi" w:cstheme="minorHAnsi"/>
          <w:i/>
          <w:sz w:val="22"/>
          <w:szCs w:val="22"/>
        </w:rPr>
      </w:pPr>
      <w:r w:rsidRPr="00DD489D">
        <w:rPr>
          <w:rFonts w:asciiTheme="minorHAnsi" w:hAnsiTheme="minorHAnsi" w:cstheme="minorHAnsi"/>
          <w:i/>
          <w:sz w:val="22"/>
          <w:szCs w:val="22"/>
        </w:rPr>
        <w:t>Verordening stikstof Brabant</w:t>
      </w:r>
    </w:p>
    <w:p w:rsidR="00DD489D" w:rsidRDefault="00DD489D" w:rsidP="00DD489D">
      <w:pPr>
        <w:rPr>
          <w:rFonts w:asciiTheme="minorHAnsi" w:hAnsiTheme="minorHAnsi" w:cstheme="minorHAnsi"/>
          <w:sz w:val="22"/>
          <w:szCs w:val="22"/>
        </w:rPr>
      </w:pPr>
      <w:r w:rsidRPr="00DD489D">
        <w:rPr>
          <w:rFonts w:asciiTheme="minorHAnsi" w:hAnsiTheme="minorHAnsi" w:cstheme="minorHAnsi"/>
          <w:sz w:val="22"/>
          <w:szCs w:val="22"/>
        </w:rPr>
        <w:t>Rechtbank verklaart zich onbevoegd kennis te nemen van beroepen tegen handhavings- en invorderingsbesluit wegens overtreding van provinciale Verordening stikstof.</w:t>
      </w:r>
      <w:r>
        <w:rPr>
          <w:rFonts w:asciiTheme="minorHAnsi" w:hAnsiTheme="minorHAnsi" w:cstheme="minorHAnsi"/>
          <w:sz w:val="22"/>
          <w:szCs w:val="22"/>
        </w:rPr>
        <w:t xml:space="preserve"> </w:t>
      </w:r>
      <w:r w:rsidRPr="00DD489D">
        <w:rPr>
          <w:rFonts w:asciiTheme="minorHAnsi" w:hAnsiTheme="minorHAnsi" w:cstheme="minorHAnsi"/>
          <w:sz w:val="22"/>
          <w:szCs w:val="22"/>
        </w:rPr>
        <w:t xml:space="preserve">De provinciale Verordening stikstof natura 2000 Noord-Brabant vindt haar grondslag in de Natuurbeschermingswet 1998. Naar het oordeel van de rechtbank moeten artikel 2 van de Bevoegdheidsregeling bestuursrechtspraak juncto artikel 20.3, eerste lid, van de Wet milieubeheer, in onderlinge samenhang bezien, zo worden uitgelegd dat de Afdeling bestuursrechtspraak van de Raad van State in eerste en enige aanleg bevoegd is te oordelen over handhavingsbesluiten die zijn genomen wegens overtreding van de wetten of daarop gebaseerde regelingen die zijn genoemd in artikel 2 van de Bevoegdheidsregeling bestuursrechtspraak, met uitzondering van die handhavingsbesluiten waarop in de genoemde bijzondere wetten hoofdstuk 5 van de </w:t>
      </w:r>
      <w:proofErr w:type="spellStart"/>
      <w:r w:rsidRPr="00DD489D">
        <w:rPr>
          <w:rFonts w:asciiTheme="minorHAnsi" w:hAnsiTheme="minorHAnsi" w:cstheme="minorHAnsi"/>
          <w:sz w:val="22"/>
          <w:szCs w:val="22"/>
        </w:rPr>
        <w:t>Wabo</w:t>
      </w:r>
      <w:proofErr w:type="spellEnd"/>
      <w:r w:rsidRPr="00DD489D">
        <w:rPr>
          <w:rFonts w:asciiTheme="minorHAnsi" w:hAnsiTheme="minorHAnsi" w:cstheme="minorHAnsi"/>
          <w:sz w:val="22"/>
          <w:szCs w:val="22"/>
        </w:rPr>
        <w:t xml:space="preserve"> van toepassing is verklaard. Nu de bestreden last onder dwangsom niet is opgelegd wegens overtreding van een vergunningsvoorschrift is deze uitzondering niet van toepassing.</w:t>
      </w:r>
      <w:r>
        <w:rPr>
          <w:rFonts w:asciiTheme="minorHAnsi" w:hAnsiTheme="minorHAnsi" w:cstheme="minorHAnsi"/>
          <w:sz w:val="22"/>
          <w:szCs w:val="22"/>
        </w:rPr>
        <w:t xml:space="preserve"> Rb. Oost-Brabant 04-10-2017, </w:t>
      </w:r>
      <w:hyperlink r:id="rId20" w:history="1">
        <w:r w:rsidRPr="00DD489D">
          <w:rPr>
            <w:rStyle w:val="Hyperlink"/>
            <w:rFonts w:asciiTheme="minorHAnsi" w:hAnsiTheme="minorHAnsi" w:cstheme="minorHAnsi"/>
            <w:sz w:val="22"/>
            <w:szCs w:val="22"/>
          </w:rPr>
          <w:t>ECLI:NL:RBOBR:2016:5454</w:t>
        </w:r>
      </w:hyperlink>
    </w:p>
    <w:p w:rsidR="00FA2A75" w:rsidRDefault="00FA2A75" w:rsidP="00F352AC">
      <w:pPr>
        <w:rPr>
          <w:rFonts w:asciiTheme="minorHAnsi" w:hAnsiTheme="minorHAnsi" w:cstheme="minorHAnsi"/>
          <w:sz w:val="22"/>
          <w:szCs w:val="22"/>
        </w:rPr>
      </w:pPr>
    </w:p>
    <w:p w:rsidR="00FA2A75" w:rsidRPr="00FA2A75" w:rsidRDefault="00FA2A75" w:rsidP="00F352AC">
      <w:pPr>
        <w:rPr>
          <w:rFonts w:asciiTheme="minorHAnsi" w:hAnsiTheme="minorHAnsi" w:cstheme="minorHAnsi"/>
          <w:i/>
          <w:sz w:val="22"/>
          <w:szCs w:val="22"/>
        </w:rPr>
      </w:pPr>
      <w:r w:rsidRPr="00FA2A75">
        <w:rPr>
          <w:rFonts w:asciiTheme="minorHAnsi" w:hAnsiTheme="minorHAnsi" w:cstheme="minorHAnsi"/>
          <w:i/>
          <w:sz w:val="22"/>
          <w:szCs w:val="22"/>
        </w:rPr>
        <w:t>Luchtwasser</w:t>
      </w:r>
    </w:p>
    <w:p w:rsidR="00FA2A75" w:rsidRDefault="00FA2A75" w:rsidP="00F352AC">
      <w:pPr>
        <w:rPr>
          <w:rFonts w:asciiTheme="minorHAnsi" w:hAnsiTheme="minorHAnsi" w:cstheme="minorHAnsi"/>
          <w:sz w:val="22"/>
          <w:szCs w:val="22"/>
        </w:rPr>
      </w:pPr>
      <w:r w:rsidRPr="00FA2A75">
        <w:rPr>
          <w:rFonts w:asciiTheme="minorHAnsi" w:hAnsiTheme="minorHAnsi" w:cstheme="minorHAnsi"/>
          <w:sz w:val="22"/>
          <w:szCs w:val="22"/>
        </w:rPr>
        <w:t>Betreft last onder dwangsom vanwege overtreding van artikel 3.123 van het Activiteitenbesluit. De hieraan ten grondslag gelegde gedraging is ten tijde van het besluit op bezwaar geëindigd. Bij besluit op bezwaar handhaaft verweerder de last vanwege een andere gedraging. De rechtbank is van oordeel dat tijdens de heroverweging geconstateerde andere gedragingen niet als een voortzetting van de overtreding kunnen worden gezien, ook al zijn deze gedragingen in strijd met een in het sanctiebesluit genoemd voorschrift. Verweerder heeft met de enkele verwijzing naar artikelen het Activiteitenbesluit onvoldoende concreet aangegeven op welke wijze eiser de overtredingen ongedaan zou kunnen maken. De rechtbank vernietigt het bestreden besluit en herroept de last.</w:t>
      </w:r>
      <w:r>
        <w:rPr>
          <w:rFonts w:asciiTheme="minorHAnsi" w:hAnsiTheme="minorHAnsi" w:cstheme="minorHAnsi"/>
          <w:sz w:val="22"/>
          <w:szCs w:val="22"/>
        </w:rPr>
        <w:t xml:space="preserve"> Rb. Oost-Brabant 22-09-2016, </w:t>
      </w:r>
      <w:hyperlink r:id="rId21" w:history="1">
        <w:r w:rsidRPr="00FA2A75">
          <w:rPr>
            <w:rStyle w:val="Hyperlink"/>
            <w:rFonts w:asciiTheme="minorHAnsi" w:hAnsiTheme="minorHAnsi" w:cstheme="minorHAnsi"/>
            <w:sz w:val="22"/>
            <w:szCs w:val="22"/>
          </w:rPr>
          <w:t>ECLI:NL:RBOBR:2016:5633</w:t>
        </w:r>
      </w:hyperlink>
    </w:p>
    <w:p w:rsidR="00FA2A75" w:rsidRDefault="00FA2A75" w:rsidP="00F352AC">
      <w:pPr>
        <w:rPr>
          <w:rFonts w:asciiTheme="minorHAnsi" w:hAnsiTheme="minorHAnsi" w:cstheme="minorHAnsi"/>
          <w:sz w:val="22"/>
          <w:szCs w:val="22"/>
        </w:rPr>
      </w:pPr>
    </w:p>
    <w:p w:rsidR="00FA2A75" w:rsidRPr="00FA2A75" w:rsidRDefault="00FA2A75" w:rsidP="00F352AC">
      <w:pPr>
        <w:rPr>
          <w:rFonts w:asciiTheme="minorHAnsi" w:hAnsiTheme="minorHAnsi" w:cstheme="minorHAnsi"/>
          <w:i/>
          <w:sz w:val="22"/>
          <w:szCs w:val="22"/>
        </w:rPr>
      </w:pPr>
      <w:r w:rsidRPr="00FA2A75">
        <w:rPr>
          <w:rFonts w:asciiTheme="minorHAnsi" w:hAnsiTheme="minorHAnsi" w:cstheme="minorHAnsi"/>
          <w:i/>
          <w:sz w:val="22"/>
          <w:szCs w:val="22"/>
        </w:rPr>
        <w:t>Omgevingsvergunning</w:t>
      </w:r>
    </w:p>
    <w:p w:rsidR="00FA2A75" w:rsidRDefault="00FA2A75" w:rsidP="00F352AC">
      <w:pPr>
        <w:rPr>
          <w:rFonts w:asciiTheme="minorHAnsi" w:hAnsiTheme="minorHAnsi" w:cstheme="minorHAnsi"/>
          <w:sz w:val="22"/>
          <w:szCs w:val="22"/>
        </w:rPr>
      </w:pPr>
      <w:r>
        <w:rPr>
          <w:rFonts w:asciiTheme="minorHAnsi" w:hAnsiTheme="minorHAnsi" w:cstheme="minorHAnsi"/>
          <w:sz w:val="22"/>
          <w:szCs w:val="22"/>
        </w:rPr>
        <w:t xml:space="preserve">Pluimveehouderij, rundvee. Geluid, </w:t>
      </w:r>
      <w:r w:rsidR="00BC1D41">
        <w:rPr>
          <w:rFonts w:asciiTheme="minorHAnsi" w:hAnsiTheme="minorHAnsi" w:cstheme="minorHAnsi"/>
          <w:sz w:val="22"/>
          <w:szCs w:val="22"/>
        </w:rPr>
        <w:t xml:space="preserve">beste beschikbare technieken, natuurbescherming. Beroep ongegrond. ABRS 19-10-2016, </w:t>
      </w:r>
      <w:hyperlink r:id="rId22" w:history="1">
        <w:r w:rsidR="00BC1D41" w:rsidRPr="00BC1D41">
          <w:rPr>
            <w:rStyle w:val="Hyperlink"/>
            <w:rFonts w:asciiTheme="minorHAnsi" w:hAnsiTheme="minorHAnsi" w:cstheme="minorHAnsi"/>
            <w:sz w:val="22"/>
            <w:szCs w:val="22"/>
          </w:rPr>
          <w:t>ECLI:NL:RVS:2016:2736</w:t>
        </w:r>
      </w:hyperlink>
    </w:p>
    <w:p w:rsidR="00FA2A75" w:rsidRPr="000F3C50" w:rsidRDefault="00FA2A75" w:rsidP="00F352AC">
      <w:pPr>
        <w:rPr>
          <w:rFonts w:asciiTheme="minorHAnsi" w:hAnsiTheme="minorHAnsi" w:cstheme="minorHAnsi"/>
          <w:sz w:val="22"/>
          <w:szCs w:val="22"/>
        </w:rPr>
      </w:pPr>
    </w:p>
    <w:p w:rsidR="00F352AC" w:rsidRPr="00F352AC" w:rsidRDefault="00F352AC" w:rsidP="00F352AC">
      <w:pPr>
        <w:rPr>
          <w:rFonts w:asciiTheme="minorHAnsi" w:hAnsiTheme="minorHAnsi" w:cstheme="minorHAnsi"/>
          <w:b/>
          <w:sz w:val="24"/>
          <w:szCs w:val="24"/>
        </w:rPr>
      </w:pPr>
      <w:r w:rsidRPr="00F352AC">
        <w:rPr>
          <w:rFonts w:asciiTheme="minorHAnsi" w:hAnsiTheme="minorHAnsi" w:cstheme="minorHAnsi"/>
          <w:b/>
          <w:sz w:val="24"/>
          <w:szCs w:val="24"/>
        </w:rPr>
        <w:t>Diversen</w:t>
      </w:r>
    </w:p>
    <w:p w:rsidR="00F352AC" w:rsidRPr="000F3C50" w:rsidRDefault="00F352AC" w:rsidP="00F352AC">
      <w:pPr>
        <w:rPr>
          <w:rFonts w:asciiTheme="minorHAnsi" w:hAnsiTheme="minorHAnsi" w:cstheme="minorHAnsi"/>
          <w:sz w:val="22"/>
          <w:szCs w:val="22"/>
        </w:rPr>
      </w:pPr>
    </w:p>
    <w:p w:rsidR="00B61DC2" w:rsidRPr="00EB71DC" w:rsidRDefault="00EB71DC" w:rsidP="00F352AC">
      <w:pPr>
        <w:rPr>
          <w:rFonts w:asciiTheme="minorHAnsi" w:hAnsiTheme="minorHAnsi" w:cstheme="minorHAnsi"/>
          <w:i/>
          <w:sz w:val="22"/>
          <w:szCs w:val="22"/>
        </w:rPr>
      </w:pPr>
      <w:r w:rsidRPr="00EB71DC">
        <w:rPr>
          <w:rFonts w:asciiTheme="minorHAnsi" w:hAnsiTheme="minorHAnsi" w:cstheme="minorHAnsi"/>
          <w:i/>
          <w:sz w:val="22"/>
          <w:szCs w:val="22"/>
        </w:rPr>
        <w:t>Strafrecht</w:t>
      </w:r>
    </w:p>
    <w:p w:rsidR="00EB71DC" w:rsidRPr="00EB71DC" w:rsidRDefault="00EB71DC" w:rsidP="00F352AC">
      <w:pPr>
        <w:rPr>
          <w:rFonts w:asciiTheme="minorHAnsi" w:hAnsiTheme="minorHAnsi" w:cstheme="minorHAnsi"/>
          <w:sz w:val="22"/>
          <w:szCs w:val="22"/>
        </w:rPr>
      </w:pPr>
      <w:r w:rsidRPr="00EB71DC">
        <w:rPr>
          <w:rFonts w:asciiTheme="minorHAnsi" w:hAnsiTheme="minorHAnsi" w:cstheme="minorHAnsi"/>
          <w:sz w:val="22"/>
          <w:szCs w:val="22"/>
        </w:rPr>
        <w:t xml:space="preserve">De rechtbank heeft een ambtenaar van de Dienst Landelijke Gebieden en de feitelijk beheerder van een voormalige steenfabriek veroordeeld tot werkstraffen en voorwaardelijke gevangenisstraffen. De rechtbank achtte bewezen dat de mannen hadden nagelaten maatregelen te treffen om te voorkomen dat een voormalige steenfabriek werd betreden. In deze steenfabriek was asbest aangetroffen. Met name in de ovenruimte was sprake van een ernstige asbestbesmetting. Nadat was vastgesteld dat er vermoedelijk een asbestbesmetting in de fabriek was, zijn beide mannen hiervan op de hoogte gesteld. In plaats van maatregelen te treffen heeft nog een voor het publiek toegankelijk evenement plaatsgevonden in de ovenruimte, waarbij meer dan 400 personen aanwezig waren. Ook vonden er onderhouds- en beveiligingswerkzaamheden plaats op het terrein en in de fabriek. Daarbij werden alle ruimtes betreden. De rechtbank was van oordeel dat op beide mannen een rechtsplicht rustte om maatregelen te treffen, zodat de fabriek niet meer toegankelijk was. Op de ene man lag een rechtsplicht omdat de instantie waarvoor de man werkte formeel de beheerder was van de voormalige steenfabriek en het bijbehorende terrein. De man zat in een projectgroep en had vanuit zijn functie veel bemoeienis met de dagelijkse gang van zaken van het terrein en de </w:t>
      </w:r>
      <w:r w:rsidRPr="00EB71DC">
        <w:rPr>
          <w:rFonts w:asciiTheme="minorHAnsi" w:hAnsiTheme="minorHAnsi" w:cstheme="minorHAnsi"/>
          <w:sz w:val="22"/>
          <w:szCs w:val="22"/>
        </w:rPr>
        <w:lastRenderedPageBreak/>
        <w:t>fabriek. Op de andere man lag een rechtsplicht omdat hij feitelijk het beheer voerde op het terrein en in de fabriek.</w:t>
      </w:r>
      <w:r>
        <w:rPr>
          <w:rFonts w:asciiTheme="minorHAnsi" w:hAnsiTheme="minorHAnsi" w:cstheme="minorHAnsi"/>
          <w:sz w:val="22"/>
          <w:szCs w:val="22"/>
        </w:rPr>
        <w:t xml:space="preserve"> Rb. Gelderland 20-10-2016, </w:t>
      </w:r>
      <w:hyperlink r:id="rId23" w:history="1">
        <w:r w:rsidRPr="00EB71DC">
          <w:rPr>
            <w:rStyle w:val="Hyperlink"/>
            <w:rFonts w:asciiTheme="minorHAnsi" w:hAnsiTheme="minorHAnsi" w:cstheme="minorHAnsi"/>
            <w:sz w:val="22"/>
            <w:szCs w:val="22"/>
          </w:rPr>
          <w:t>ECLI:NL:RBGEL:2016:5609</w:t>
        </w:r>
      </w:hyperlink>
    </w:p>
    <w:p w:rsidR="001F2398" w:rsidRPr="00EB71DC" w:rsidRDefault="001F2398" w:rsidP="00F352AC">
      <w:pPr>
        <w:rPr>
          <w:rFonts w:asciiTheme="minorHAnsi" w:hAnsiTheme="minorHAnsi" w:cstheme="minorHAnsi"/>
          <w:b/>
          <w:sz w:val="22"/>
          <w:szCs w:val="22"/>
        </w:rPr>
      </w:pPr>
    </w:p>
    <w:p w:rsidR="001F2398" w:rsidRPr="00F352AC" w:rsidRDefault="001F2398" w:rsidP="00F352AC">
      <w:pPr>
        <w:rPr>
          <w:rFonts w:asciiTheme="minorHAnsi" w:hAnsiTheme="minorHAnsi" w:cstheme="minorHAnsi"/>
          <w:b/>
          <w:sz w:val="24"/>
          <w:szCs w:val="24"/>
        </w:rPr>
      </w:pPr>
    </w:p>
    <w:p w:rsidR="001F2398" w:rsidRPr="00F352AC" w:rsidRDefault="001F2398" w:rsidP="001F2398">
      <w:pPr>
        <w:rPr>
          <w:rFonts w:asciiTheme="minorHAnsi" w:hAnsiTheme="minorHAnsi" w:cstheme="minorHAnsi"/>
          <w:b/>
          <w:sz w:val="24"/>
          <w:szCs w:val="24"/>
        </w:rPr>
      </w:pPr>
    </w:p>
    <w:p w:rsidR="001F2398" w:rsidRPr="00A17892" w:rsidRDefault="001F2398" w:rsidP="001F2398">
      <w:pPr>
        <w:ind w:left="708"/>
        <w:rPr>
          <w:b/>
          <w:i/>
        </w:rPr>
      </w:pPr>
      <w:r w:rsidRPr="00A17892">
        <w:rPr>
          <w:b/>
          <w:i/>
        </w:rPr>
        <w:t>Bronnen</w:t>
      </w:r>
    </w:p>
    <w:p w:rsidR="001F2398" w:rsidRPr="00A17892" w:rsidRDefault="00EB71DC" w:rsidP="001F2398">
      <w:pPr>
        <w:ind w:left="708"/>
        <w:rPr>
          <w:rFonts w:ascii="Calibri" w:eastAsia="Calibri" w:hAnsi="Calibri"/>
          <w:lang w:eastAsia="en-US"/>
        </w:rPr>
      </w:pPr>
      <w:hyperlink r:id="rId24" w:history="1">
        <w:r w:rsidR="001F2398" w:rsidRPr="00A17892">
          <w:rPr>
            <w:rFonts w:ascii="Calibri" w:eastAsia="Calibri" w:hAnsi="Calibri"/>
            <w:color w:val="0000FF"/>
            <w:u w:val="single"/>
            <w:lang w:eastAsia="en-US"/>
          </w:rPr>
          <w:t>www.overheid.nl</w:t>
        </w:r>
      </w:hyperlink>
      <w:r w:rsidR="001F2398" w:rsidRPr="00A17892">
        <w:rPr>
          <w:rFonts w:ascii="Calibri" w:eastAsia="Calibri" w:hAnsi="Calibri"/>
          <w:lang w:eastAsia="en-US"/>
        </w:rPr>
        <w:t xml:space="preserve">  (officiële publicaties, kamerstukken, </w:t>
      </w:r>
      <w:proofErr w:type="spellStart"/>
      <w:r w:rsidR="001F2398" w:rsidRPr="00A17892">
        <w:rPr>
          <w:rFonts w:ascii="Calibri" w:eastAsia="Calibri" w:hAnsi="Calibri"/>
          <w:lang w:eastAsia="en-US"/>
        </w:rPr>
        <w:t>tractatenblad</w:t>
      </w:r>
      <w:proofErr w:type="spellEnd"/>
      <w:r w:rsidR="001F2398" w:rsidRPr="00A17892">
        <w:rPr>
          <w:rFonts w:ascii="Calibri" w:eastAsia="Calibri" w:hAnsi="Calibri"/>
          <w:lang w:eastAsia="en-US"/>
        </w:rPr>
        <w:t>, staatsblad, Staatscourant)</w:t>
      </w:r>
    </w:p>
    <w:p w:rsidR="001F2398" w:rsidRPr="00A17892" w:rsidRDefault="00EB71DC" w:rsidP="001F2398">
      <w:pPr>
        <w:ind w:left="708"/>
        <w:rPr>
          <w:rFonts w:ascii="Calibri" w:eastAsia="Calibri" w:hAnsi="Calibri"/>
          <w:lang w:eastAsia="en-US"/>
        </w:rPr>
      </w:pPr>
      <w:hyperlink r:id="rId25" w:history="1">
        <w:r w:rsidR="001F2398" w:rsidRPr="00A17892">
          <w:rPr>
            <w:rFonts w:ascii="Calibri" w:eastAsia="Calibri" w:hAnsi="Calibri"/>
            <w:color w:val="0000FF"/>
            <w:u w:val="single"/>
            <w:lang w:eastAsia="en-US"/>
          </w:rPr>
          <w:t>www.internetconsultatie.nl</w:t>
        </w:r>
      </w:hyperlink>
      <w:r w:rsidR="001F2398" w:rsidRPr="00A17892">
        <w:rPr>
          <w:rFonts w:ascii="Calibri" w:eastAsia="Calibri" w:hAnsi="Calibri"/>
          <w:lang w:eastAsia="en-US"/>
        </w:rPr>
        <w:t xml:space="preserve"> (concept-regelingen)</w:t>
      </w:r>
    </w:p>
    <w:p w:rsidR="001F2398" w:rsidRPr="00A17892" w:rsidRDefault="00EB71DC" w:rsidP="001F2398">
      <w:pPr>
        <w:ind w:left="708"/>
        <w:rPr>
          <w:rFonts w:ascii="Calibri" w:eastAsia="Calibri" w:hAnsi="Calibri"/>
          <w:lang w:eastAsia="en-US"/>
        </w:rPr>
      </w:pPr>
      <w:hyperlink r:id="rId26" w:history="1">
        <w:r w:rsidR="001F2398" w:rsidRPr="00A17892">
          <w:rPr>
            <w:rFonts w:ascii="Calibri" w:eastAsia="Calibri" w:hAnsi="Calibri"/>
            <w:color w:val="0000FF"/>
            <w:u w:val="single"/>
            <w:lang w:eastAsia="en-US"/>
          </w:rPr>
          <w:t>www.rechtspraak.nl</w:t>
        </w:r>
      </w:hyperlink>
      <w:r w:rsidR="001F2398" w:rsidRPr="00A17892">
        <w:rPr>
          <w:rFonts w:ascii="Calibri" w:eastAsia="Calibri" w:hAnsi="Calibri"/>
          <w:lang w:eastAsia="en-US"/>
        </w:rPr>
        <w:t xml:space="preserve"> (recente jurisprudentie)</w:t>
      </w:r>
    </w:p>
    <w:p w:rsidR="001F2398" w:rsidRPr="00A17892" w:rsidRDefault="00EB71DC" w:rsidP="001F2398">
      <w:pPr>
        <w:ind w:left="708"/>
        <w:rPr>
          <w:rFonts w:ascii="Calibri" w:eastAsia="Calibri" w:hAnsi="Calibri"/>
          <w:lang w:eastAsia="en-US"/>
        </w:rPr>
      </w:pPr>
      <w:hyperlink r:id="rId27" w:history="1">
        <w:r w:rsidR="001F2398" w:rsidRPr="00A17892">
          <w:rPr>
            <w:rFonts w:ascii="Calibri" w:eastAsia="Calibri" w:hAnsi="Calibri"/>
            <w:color w:val="0000FF"/>
            <w:u w:val="single"/>
            <w:lang w:eastAsia="en-US"/>
          </w:rPr>
          <w:t>http://europa.eu/publications/official-documents/index_nl.htm</w:t>
        </w:r>
      </w:hyperlink>
      <w:r w:rsidR="001F2398" w:rsidRPr="00A17892">
        <w:rPr>
          <w:rFonts w:ascii="Calibri" w:eastAsia="Calibri" w:hAnsi="Calibri"/>
          <w:lang w:eastAsia="en-US"/>
        </w:rPr>
        <w:t xml:space="preserve"> (officiële publicaties EU)</w:t>
      </w:r>
    </w:p>
    <w:p w:rsidR="001F2398" w:rsidRPr="00A17892" w:rsidRDefault="00EB71DC" w:rsidP="001F2398">
      <w:pPr>
        <w:ind w:left="708"/>
        <w:rPr>
          <w:rFonts w:ascii="Calibri" w:eastAsia="Calibri" w:hAnsi="Calibri"/>
          <w:lang w:eastAsia="en-US"/>
        </w:rPr>
      </w:pPr>
      <w:hyperlink r:id="rId28" w:history="1">
        <w:r w:rsidR="001F2398" w:rsidRPr="00A17892">
          <w:rPr>
            <w:rFonts w:ascii="Calibri" w:eastAsia="Calibri" w:hAnsi="Calibri"/>
            <w:color w:val="0000FF"/>
            <w:u w:val="single"/>
            <w:lang w:eastAsia="en-US"/>
          </w:rPr>
          <w:t>http://curia.europa.eu/</w:t>
        </w:r>
      </w:hyperlink>
      <w:r w:rsidR="001F2398" w:rsidRPr="00A17892">
        <w:rPr>
          <w:rFonts w:ascii="Calibri" w:eastAsia="Calibri" w:hAnsi="Calibri"/>
          <w:lang w:eastAsia="en-US"/>
        </w:rPr>
        <w:t xml:space="preserve"> (rechtspraak Europese hof van Justitie)</w:t>
      </w:r>
    </w:p>
    <w:p w:rsidR="001F2398" w:rsidRPr="00A17892" w:rsidRDefault="00EB71DC" w:rsidP="001F2398">
      <w:pPr>
        <w:ind w:left="708"/>
        <w:rPr>
          <w:rFonts w:ascii="Calibri" w:eastAsia="Calibri" w:hAnsi="Calibri"/>
          <w:lang w:val="de-DE" w:eastAsia="en-US"/>
        </w:rPr>
      </w:pPr>
      <w:hyperlink r:id="rId29" w:history="1">
        <w:r w:rsidR="001F2398" w:rsidRPr="00A17892">
          <w:rPr>
            <w:rFonts w:ascii="Calibri" w:eastAsia="Calibri" w:hAnsi="Calibri"/>
            <w:color w:val="0000FF"/>
            <w:u w:val="single"/>
            <w:lang w:val="de-DE" w:eastAsia="en-US"/>
          </w:rPr>
          <w:t>http://www.echr.coe.int</w:t>
        </w:r>
      </w:hyperlink>
      <w:r w:rsidR="001F2398" w:rsidRPr="00A17892">
        <w:rPr>
          <w:rFonts w:ascii="Calibri" w:eastAsia="Calibri" w:hAnsi="Calibri"/>
          <w:lang w:val="de-DE" w:eastAsia="en-US"/>
        </w:rPr>
        <w:t xml:space="preserve"> (EHRM)</w:t>
      </w:r>
    </w:p>
    <w:p w:rsidR="001F2398" w:rsidRPr="00A17892" w:rsidRDefault="001F2398" w:rsidP="001F2398">
      <w:pPr>
        <w:ind w:left="708"/>
        <w:rPr>
          <w:rFonts w:ascii="Calibri" w:eastAsia="Calibri" w:hAnsi="Calibri"/>
          <w:lang w:eastAsia="en-US"/>
        </w:rPr>
      </w:pPr>
      <w:r w:rsidRPr="00A17892">
        <w:rPr>
          <w:rFonts w:ascii="Calibri" w:eastAsia="Calibri" w:hAnsi="Calibri"/>
          <w:lang w:eastAsia="en-US"/>
        </w:rPr>
        <w:t xml:space="preserve">Alle relevante juridische tijdschriften (NL, </w:t>
      </w:r>
      <w:proofErr w:type="spellStart"/>
      <w:r w:rsidRPr="00A17892">
        <w:rPr>
          <w:rFonts w:ascii="Calibri" w:eastAsia="Calibri" w:hAnsi="Calibri"/>
          <w:lang w:eastAsia="en-US"/>
        </w:rPr>
        <w:t>Belgie</w:t>
      </w:r>
      <w:proofErr w:type="spellEnd"/>
      <w:r w:rsidRPr="00A17892">
        <w:rPr>
          <w:rFonts w:ascii="Calibri" w:eastAsia="Calibri" w:hAnsi="Calibri"/>
          <w:lang w:eastAsia="en-US"/>
        </w:rPr>
        <w:t>, Duitsland)</w:t>
      </w:r>
    </w:p>
    <w:p w:rsidR="001F2398" w:rsidRPr="00A17892" w:rsidRDefault="001F2398" w:rsidP="001F2398">
      <w:pPr>
        <w:ind w:left="708"/>
        <w:rPr>
          <w:rFonts w:ascii="Calibri" w:eastAsia="Calibri" w:hAnsi="Calibri"/>
          <w:lang w:eastAsia="en-US"/>
        </w:rPr>
      </w:pPr>
      <w:r w:rsidRPr="00A17892">
        <w:rPr>
          <w:rFonts w:ascii="Calibri" w:eastAsia="Calibri" w:hAnsi="Calibri"/>
          <w:lang w:eastAsia="en-US"/>
        </w:rPr>
        <w:t>Nieuwsbrieven van organisaties / uitgevers</w:t>
      </w:r>
    </w:p>
    <w:p w:rsidR="001F2398" w:rsidRPr="00A17892" w:rsidRDefault="001F2398" w:rsidP="001F2398">
      <w:pPr>
        <w:rPr>
          <w:rFonts w:ascii="Calibri" w:eastAsia="Calibri" w:hAnsi="Calibri"/>
          <w:lang w:eastAsia="en-US"/>
        </w:rPr>
      </w:pPr>
    </w:p>
    <w:p w:rsidR="001F2398" w:rsidRPr="00A17892" w:rsidRDefault="001F2398" w:rsidP="001F2398">
      <w:pPr>
        <w:ind w:left="708"/>
        <w:rPr>
          <w:rFonts w:ascii="Calibri" w:eastAsia="Calibri" w:hAnsi="Calibri"/>
          <w:b/>
          <w:i/>
          <w:lang w:eastAsia="en-US"/>
        </w:rPr>
      </w:pPr>
      <w:r w:rsidRPr="00A17892">
        <w:rPr>
          <w:rFonts w:ascii="Calibri" w:eastAsia="Calibri" w:hAnsi="Calibri"/>
          <w:b/>
          <w:i/>
          <w:lang w:eastAsia="en-US"/>
        </w:rPr>
        <w:t>Rubrieken</w:t>
      </w:r>
    </w:p>
    <w:p w:rsidR="001F2398" w:rsidRPr="00A17892" w:rsidRDefault="001F2398" w:rsidP="001F2398">
      <w:pPr>
        <w:ind w:left="708"/>
        <w:rPr>
          <w:rFonts w:ascii="Calibri" w:eastAsia="Calibri" w:hAnsi="Calibri"/>
          <w:i/>
          <w:lang w:eastAsia="en-US"/>
        </w:rPr>
      </w:pPr>
    </w:p>
    <w:p w:rsidR="001F2398" w:rsidRPr="00A17892" w:rsidRDefault="001F2398" w:rsidP="001F2398">
      <w:pPr>
        <w:ind w:left="708"/>
        <w:rPr>
          <w:rFonts w:ascii="Calibri" w:eastAsia="Calibri" w:hAnsi="Calibri"/>
          <w:lang w:eastAsia="en-US"/>
        </w:rPr>
      </w:pPr>
      <w:r w:rsidRPr="00A17892">
        <w:rPr>
          <w:rFonts w:ascii="Calibri" w:eastAsia="Calibri" w:hAnsi="Calibri"/>
          <w:lang w:eastAsia="en-US"/>
        </w:rPr>
        <w:t>Algemeen – Pacht - Zakelijke rechten - Ruimtelijke Ordening – Landinrichting - Beheer landelijk gebied – Structuurbeleid – Marktordening – Dieren – Planten – Producten – Milieurecht – Rechtspersonen - Fiscaal recht – Bedrijfsopvolging - Buitenlands agrarisch recht - Europees agrarisch recht - Diversen</w:t>
      </w:r>
    </w:p>
    <w:p w:rsidR="008548CD" w:rsidRDefault="008548CD" w:rsidP="00646422">
      <w:pPr>
        <w:rPr>
          <w:rFonts w:asciiTheme="minorHAnsi" w:hAnsiTheme="minorHAnsi" w:cstheme="minorHAnsi"/>
          <w:b/>
          <w:sz w:val="24"/>
          <w:szCs w:val="24"/>
        </w:rPr>
      </w:pPr>
      <w:bookmarkStart w:id="0" w:name="_GoBack"/>
      <w:bookmarkEnd w:id="0"/>
    </w:p>
    <w:sectPr w:rsidR="008548CD">
      <w:headerReference w:type="even" r:id="rId30"/>
      <w:headerReference w:type="default" r:id="rId31"/>
      <w:footerReference w:type="even" r:id="rId32"/>
      <w:footerReference w:type="default" r:id="rId33"/>
      <w:headerReference w:type="first" r:id="rId34"/>
      <w:footerReference w:type="first" r:id="rId35"/>
      <w:pgSz w:w="11906" w:h="16838"/>
      <w:pgMar w:top="1418" w:right="1418" w:bottom="1418" w:left="1418"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F2A" w:rsidRDefault="00961F2A">
      <w:r>
        <w:separator/>
      </w:r>
    </w:p>
  </w:endnote>
  <w:endnote w:type="continuationSeparator" w:id="0">
    <w:p w:rsidR="00961F2A" w:rsidRDefault="00961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2A" w:rsidRDefault="00961F2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961F2A" w:rsidRDefault="00961F2A">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2A" w:rsidRDefault="00961F2A">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B71DC">
      <w:rPr>
        <w:rStyle w:val="Paginanummer"/>
        <w:noProof/>
      </w:rPr>
      <w:t>4</w:t>
    </w:r>
    <w:r>
      <w:rPr>
        <w:rStyle w:val="Paginanummer"/>
      </w:rPr>
      <w:fldChar w:fldCharType="end"/>
    </w:r>
  </w:p>
  <w:p w:rsidR="00961F2A" w:rsidRDefault="00961F2A" w:rsidP="00180E52">
    <w:pPr>
      <w:pStyle w:val="Voettekst"/>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52" w:rsidRDefault="00180E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F2A" w:rsidRDefault="00961F2A">
      <w:r>
        <w:separator/>
      </w:r>
    </w:p>
  </w:footnote>
  <w:footnote w:type="continuationSeparator" w:id="0">
    <w:p w:rsidR="00961F2A" w:rsidRDefault="00961F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52" w:rsidRDefault="00180E5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1F2A" w:rsidRDefault="00961F2A" w:rsidP="00613F1A">
    <w:pPr>
      <w:pStyle w:val="Koptekst"/>
      <w:tabs>
        <w:tab w:val="clear" w:pos="4536"/>
        <w:tab w:val="left" w:pos="7655"/>
      </w:tabs>
      <w:jc w:val="right"/>
    </w:pPr>
    <w:r>
      <w:rPr>
        <w:rFonts w:ascii="Arial Narrow" w:hAnsi="Arial Narrow"/>
        <w:sz w:val="18"/>
      </w:rPr>
      <w:tab/>
    </w:r>
    <w:r w:rsidR="00613F1A">
      <w:rPr>
        <w:rFonts w:ascii="Arial Narrow" w:hAnsi="Arial Narrow"/>
        <w:noProof/>
        <w:sz w:val="18"/>
      </w:rPr>
      <w:drawing>
        <wp:inline distT="0" distB="0" distL="0" distR="0" wp14:anchorId="6C6ECA52" wp14:editId="7154AA7D">
          <wp:extent cx="1419225" cy="685800"/>
          <wp:effectExtent l="0" t="0" r="9525" b="0"/>
          <wp:docPr id="8" name="Afbeelding 8" descr="\\192.168.1.2\data\Organisatie\Nieuwe logo's IAR\logo_ia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2.168.1.2\data\Organisatie\Nieuwe logo's IAR\logo_iar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F1A" w:rsidRDefault="00613F1A" w:rsidP="00613F1A">
    <w:pPr>
      <w:pStyle w:val="Koptekst"/>
      <w:jc w:val="right"/>
    </w:pPr>
    <w:r>
      <w:rPr>
        <w:noProof/>
      </w:rPr>
      <w:drawing>
        <wp:inline distT="0" distB="0" distL="0" distR="0">
          <wp:extent cx="1419225" cy="685800"/>
          <wp:effectExtent l="0" t="0" r="9525" b="0"/>
          <wp:docPr id="7" name="Afbeelding 7" descr="\\192.168.1.2\data\Organisatie\Nieuwe logo's IAR\logo_ia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2\data\Organisatie\Nieuwe logo's IAR\logo_iar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E3D"/>
    <w:multiLevelType w:val="hybridMultilevel"/>
    <w:tmpl w:val="751E89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C7538F6"/>
    <w:multiLevelType w:val="hybridMultilevel"/>
    <w:tmpl w:val="C86A44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3EC00612"/>
    <w:multiLevelType w:val="hybridMultilevel"/>
    <w:tmpl w:val="1F2061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5B451D5A"/>
    <w:multiLevelType w:val="hybridMultilevel"/>
    <w:tmpl w:val="8FD8DC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F731272"/>
    <w:multiLevelType w:val="hybridMultilevel"/>
    <w:tmpl w:val="92042C94"/>
    <w:lvl w:ilvl="0" w:tplc="5974395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5C74505"/>
    <w:multiLevelType w:val="hybridMultilevel"/>
    <w:tmpl w:val="1B525976"/>
    <w:lvl w:ilvl="0" w:tplc="5974395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7281">
      <o:colormru v:ext="edit" colors="#090,#690,#39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77"/>
    <w:rsid w:val="00001EB9"/>
    <w:rsid w:val="0001035B"/>
    <w:rsid w:val="00030130"/>
    <w:rsid w:val="00065442"/>
    <w:rsid w:val="000706DA"/>
    <w:rsid w:val="00085472"/>
    <w:rsid w:val="000C0BA9"/>
    <w:rsid w:val="000E339E"/>
    <w:rsid w:val="000E642F"/>
    <w:rsid w:val="000F3C50"/>
    <w:rsid w:val="00101ED4"/>
    <w:rsid w:val="0013300E"/>
    <w:rsid w:val="001365A0"/>
    <w:rsid w:val="00137321"/>
    <w:rsid w:val="001577BB"/>
    <w:rsid w:val="00177580"/>
    <w:rsid w:val="00180E52"/>
    <w:rsid w:val="001B302E"/>
    <w:rsid w:val="001C1FE7"/>
    <w:rsid w:val="001D311B"/>
    <w:rsid w:val="001E15AE"/>
    <w:rsid w:val="001E20B8"/>
    <w:rsid w:val="001E6A16"/>
    <w:rsid w:val="001F2398"/>
    <w:rsid w:val="002130EB"/>
    <w:rsid w:val="00216E1E"/>
    <w:rsid w:val="002434A5"/>
    <w:rsid w:val="00273D92"/>
    <w:rsid w:val="0028038C"/>
    <w:rsid w:val="00294A52"/>
    <w:rsid w:val="002A59D2"/>
    <w:rsid w:val="002C2E57"/>
    <w:rsid w:val="002C3D25"/>
    <w:rsid w:val="002C578F"/>
    <w:rsid w:val="002D43ED"/>
    <w:rsid w:val="002E691E"/>
    <w:rsid w:val="003069B2"/>
    <w:rsid w:val="00313A52"/>
    <w:rsid w:val="00314A34"/>
    <w:rsid w:val="00324509"/>
    <w:rsid w:val="00326B85"/>
    <w:rsid w:val="0037494A"/>
    <w:rsid w:val="00386987"/>
    <w:rsid w:val="003B3E2F"/>
    <w:rsid w:val="003E4F33"/>
    <w:rsid w:val="003F1750"/>
    <w:rsid w:val="00400247"/>
    <w:rsid w:val="004013C2"/>
    <w:rsid w:val="00410A9B"/>
    <w:rsid w:val="00431FD3"/>
    <w:rsid w:val="00433233"/>
    <w:rsid w:val="00443086"/>
    <w:rsid w:val="0046004A"/>
    <w:rsid w:val="0047127A"/>
    <w:rsid w:val="00494661"/>
    <w:rsid w:val="004A065E"/>
    <w:rsid w:val="004A596C"/>
    <w:rsid w:val="004B11DE"/>
    <w:rsid w:val="004C288C"/>
    <w:rsid w:val="004C37DD"/>
    <w:rsid w:val="004C6A81"/>
    <w:rsid w:val="00500D88"/>
    <w:rsid w:val="005023C6"/>
    <w:rsid w:val="00576946"/>
    <w:rsid w:val="00592F3D"/>
    <w:rsid w:val="00595DF5"/>
    <w:rsid w:val="005B266B"/>
    <w:rsid w:val="005C1FD3"/>
    <w:rsid w:val="005C3BC0"/>
    <w:rsid w:val="005D20F9"/>
    <w:rsid w:val="005E62D1"/>
    <w:rsid w:val="005F532D"/>
    <w:rsid w:val="00613F1A"/>
    <w:rsid w:val="00621B77"/>
    <w:rsid w:val="00624630"/>
    <w:rsid w:val="00625B0E"/>
    <w:rsid w:val="00646422"/>
    <w:rsid w:val="0065573A"/>
    <w:rsid w:val="0065741C"/>
    <w:rsid w:val="00660238"/>
    <w:rsid w:val="006658A1"/>
    <w:rsid w:val="006863EB"/>
    <w:rsid w:val="006966D4"/>
    <w:rsid w:val="006D2C04"/>
    <w:rsid w:val="006E7738"/>
    <w:rsid w:val="006F0721"/>
    <w:rsid w:val="00710729"/>
    <w:rsid w:val="00730F7F"/>
    <w:rsid w:val="00742845"/>
    <w:rsid w:val="00777D08"/>
    <w:rsid w:val="00795B4B"/>
    <w:rsid w:val="007C3A51"/>
    <w:rsid w:val="007C56F6"/>
    <w:rsid w:val="007E6967"/>
    <w:rsid w:val="007F6389"/>
    <w:rsid w:val="00813AB1"/>
    <w:rsid w:val="0081697A"/>
    <w:rsid w:val="0082218A"/>
    <w:rsid w:val="008329CF"/>
    <w:rsid w:val="0083519D"/>
    <w:rsid w:val="00853C80"/>
    <w:rsid w:val="008548CD"/>
    <w:rsid w:val="00880D6F"/>
    <w:rsid w:val="008A6924"/>
    <w:rsid w:val="008B1FD2"/>
    <w:rsid w:val="008C7D23"/>
    <w:rsid w:val="008D4288"/>
    <w:rsid w:val="008E5078"/>
    <w:rsid w:val="008E72CB"/>
    <w:rsid w:val="00935754"/>
    <w:rsid w:val="0094251C"/>
    <w:rsid w:val="00961F2A"/>
    <w:rsid w:val="00965895"/>
    <w:rsid w:val="009751D6"/>
    <w:rsid w:val="0098529E"/>
    <w:rsid w:val="0099532A"/>
    <w:rsid w:val="009A45AB"/>
    <w:rsid w:val="009B2CAB"/>
    <w:rsid w:val="009C70D0"/>
    <w:rsid w:val="009E28A9"/>
    <w:rsid w:val="009F7503"/>
    <w:rsid w:val="00A32673"/>
    <w:rsid w:val="00A37A95"/>
    <w:rsid w:val="00A50088"/>
    <w:rsid w:val="00AA0977"/>
    <w:rsid w:val="00AB0597"/>
    <w:rsid w:val="00AD61DA"/>
    <w:rsid w:val="00B056EA"/>
    <w:rsid w:val="00B3357D"/>
    <w:rsid w:val="00B44B08"/>
    <w:rsid w:val="00B46056"/>
    <w:rsid w:val="00B61DC2"/>
    <w:rsid w:val="00B62573"/>
    <w:rsid w:val="00B65377"/>
    <w:rsid w:val="00BA75F0"/>
    <w:rsid w:val="00BB225E"/>
    <w:rsid w:val="00BC1D41"/>
    <w:rsid w:val="00BD2FFF"/>
    <w:rsid w:val="00C109F6"/>
    <w:rsid w:val="00C45A05"/>
    <w:rsid w:val="00C808F9"/>
    <w:rsid w:val="00C81514"/>
    <w:rsid w:val="00C95DFD"/>
    <w:rsid w:val="00D03117"/>
    <w:rsid w:val="00D44526"/>
    <w:rsid w:val="00D660BE"/>
    <w:rsid w:val="00D80A37"/>
    <w:rsid w:val="00DA0278"/>
    <w:rsid w:val="00DB01E2"/>
    <w:rsid w:val="00DB572A"/>
    <w:rsid w:val="00DD489D"/>
    <w:rsid w:val="00DD6ACA"/>
    <w:rsid w:val="00DE0ADA"/>
    <w:rsid w:val="00DF37CE"/>
    <w:rsid w:val="00E04397"/>
    <w:rsid w:val="00E11D22"/>
    <w:rsid w:val="00E132E2"/>
    <w:rsid w:val="00E61CCD"/>
    <w:rsid w:val="00EA2BB3"/>
    <w:rsid w:val="00EB71DC"/>
    <w:rsid w:val="00EC416B"/>
    <w:rsid w:val="00ED12F9"/>
    <w:rsid w:val="00ED3375"/>
    <w:rsid w:val="00EF5BA3"/>
    <w:rsid w:val="00F053BD"/>
    <w:rsid w:val="00F10C3A"/>
    <w:rsid w:val="00F120AA"/>
    <w:rsid w:val="00F20A3D"/>
    <w:rsid w:val="00F352AC"/>
    <w:rsid w:val="00F44B16"/>
    <w:rsid w:val="00F85DBB"/>
    <w:rsid w:val="00F90164"/>
    <w:rsid w:val="00F92570"/>
    <w:rsid w:val="00FA2A75"/>
    <w:rsid w:val="00FA501E"/>
    <w:rsid w:val="00FA7A47"/>
    <w:rsid w:val="00FC105A"/>
    <w:rsid w:val="00FC2205"/>
    <w:rsid w:val="00FD2A94"/>
    <w:rsid w:val="00FF5952"/>
    <w:rsid w:val="00FF62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colormru v:ext="edit" colors="#090,#690,#39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qFormat/>
    <w:pPr>
      <w:keepNext/>
      <w:tabs>
        <w:tab w:val="left" w:pos="2552"/>
      </w:tabs>
      <w:jc w:val="right"/>
      <w:outlineLvl w:val="0"/>
    </w:pPr>
    <w:rPr>
      <w:rFonts w:ascii="Arial Narrow" w:hAnsi="Arial Narrow"/>
      <w:b/>
      <w:sz w:val="56"/>
    </w:rPr>
  </w:style>
  <w:style w:type="paragraph" w:styleId="Kop2">
    <w:name w:val="heading 2"/>
    <w:basedOn w:val="Standaard"/>
    <w:next w:val="Standaard"/>
    <w:qFormat/>
    <w:pPr>
      <w:keepNext/>
      <w:tabs>
        <w:tab w:val="left" w:pos="6521"/>
      </w:tabs>
      <w:outlineLvl w:val="1"/>
    </w:pPr>
    <w:rPr>
      <w:sz w:val="24"/>
    </w:rPr>
  </w:style>
  <w:style w:type="paragraph" w:styleId="Kop3">
    <w:name w:val="heading 3"/>
    <w:basedOn w:val="Standaard"/>
    <w:next w:val="Standaard"/>
    <w:qFormat/>
    <w:pPr>
      <w:keepNext/>
      <w:tabs>
        <w:tab w:val="left" w:pos="-1440"/>
        <w:tab w:val="left" w:pos="-720"/>
      </w:tabs>
      <w:outlineLvl w:val="2"/>
    </w:pPr>
    <w:rPr>
      <w:rFonts w:ascii="Arial Narrow" w:hAnsi="Arial Narrow"/>
      <w:b/>
      <w:sz w:val="48"/>
    </w:rPr>
  </w:style>
  <w:style w:type="paragraph" w:styleId="Kop4">
    <w:name w:val="heading 4"/>
    <w:basedOn w:val="Standaard"/>
    <w:next w:val="Standaard"/>
    <w:qFormat/>
    <w:pPr>
      <w:keepNext/>
      <w:tabs>
        <w:tab w:val="left" w:pos="-1440"/>
        <w:tab w:val="left" w:pos="-720"/>
      </w:tabs>
      <w:outlineLvl w:val="3"/>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Normaalweb">
    <w:name w:val="Normal (Web)"/>
    <w:basedOn w:val="Standaard"/>
    <w:uiPriority w:val="99"/>
    <w:unhideWhenUsed/>
    <w:rsid w:val="000706DA"/>
    <w:pPr>
      <w:spacing w:before="100" w:beforeAutospacing="1" w:after="100" w:afterAutospacing="1"/>
    </w:pPr>
    <w:rPr>
      <w:sz w:val="24"/>
      <w:szCs w:val="24"/>
    </w:rPr>
  </w:style>
  <w:style w:type="character" w:customStyle="1" w:styleId="lead1">
    <w:name w:val="lead1"/>
    <w:rsid w:val="00965895"/>
    <w:rPr>
      <w:b/>
      <w:bCs/>
    </w:rPr>
  </w:style>
  <w:style w:type="paragraph" w:styleId="Lijstalinea">
    <w:name w:val="List Paragraph"/>
    <w:basedOn w:val="Standaard"/>
    <w:uiPriority w:val="34"/>
    <w:qFormat/>
    <w:rsid w:val="0047127A"/>
    <w:pPr>
      <w:ind w:left="720"/>
      <w:contextualSpacing/>
    </w:pPr>
  </w:style>
  <w:style w:type="paragraph" w:styleId="Ballontekst">
    <w:name w:val="Balloon Text"/>
    <w:basedOn w:val="Standaard"/>
    <w:link w:val="BallontekstChar"/>
    <w:rsid w:val="00613F1A"/>
    <w:rPr>
      <w:rFonts w:ascii="Tahoma" w:hAnsi="Tahoma" w:cs="Tahoma"/>
      <w:sz w:val="16"/>
      <w:szCs w:val="16"/>
    </w:rPr>
  </w:style>
  <w:style w:type="character" w:customStyle="1" w:styleId="BallontekstChar">
    <w:name w:val="Ballontekst Char"/>
    <w:basedOn w:val="Standaardalinea-lettertype"/>
    <w:link w:val="Ballontekst"/>
    <w:rsid w:val="00613F1A"/>
    <w:rPr>
      <w:rFonts w:ascii="Tahoma" w:hAnsi="Tahoma" w:cs="Tahoma"/>
      <w:sz w:val="16"/>
      <w:szCs w:val="16"/>
    </w:rPr>
  </w:style>
  <w:style w:type="paragraph" w:styleId="Geenafstand">
    <w:name w:val="No Spacing"/>
    <w:uiPriority w:val="1"/>
    <w:qFormat/>
    <w:rsid w:val="005C3BC0"/>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style>
  <w:style w:type="paragraph" w:styleId="Kop1">
    <w:name w:val="heading 1"/>
    <w:basedOn w:val="Standaard"/>
    <w:next w:val="Standaard"/>
    <w:qFormat/>
    <w:pPr>
      <w:keepNext/>
      <w:tabs>
        <w:tab w:val="left" w:pos="2552"/>
      </w:tabs>
      <w:jc w:val="right"/>
      <w:outlineLvl w:val="0"/>
    </w:pPr>
    <w:rPr>
      <w:rFonts w:ascii="Arial Narrow" w:hAnsi="Arial Narrow"/>
      <w:b/>
      <w:sz w:val="56"/>
    </w:rPr>
  </w:style>
  <w:style w:type="paragraph" w:styleId="Kop2">
    <w:name w:val="heading 2"/>
    <w:basedOn w:val="Standaard"/>
    <w:next w:val="Standaard"/>
    <w:qFormat/>
    <w:pPr>
      <w:keepNext/>
      <w:tabs>
        <w:tab w:val="left" w:pos="6521"/>
      </w:tabs>
      <w:outlineLvl w:val="1"/>
    </w:pPr>
    <w:rPr>
      <w:sz w:val="24"/>
    </w:rPr>
  </w:style>
  <w:style w:type="paragraph" w:styleId="Kop3">
    <w:name w:val="heading 3"/>
    <w:basedOn w:val="Standaard"/>
    <w:next w:val="Standaard"/>
    <w:qFormat/>
    <w:pPr>
      <w:keepNext/>
      <w:tabs>
        <w:tab w:val="left" w:pos="-1440"/>
        <w:tab w:val="left" w:pos="-720"/>
      </w:tabs>
      <w:outlineLvl w:val="2"/>
    </w:pPr>
    <w:rPr>
      <w:rFonts w:ascii="Arial Narrow" w:hAnsi="Arial Narrow"/>
      <w:b/>
      <w:sz w:val="48"/>
    </w:rPr>
  </w:style>
  <w:style w:type="paragraph" w:styleId="Kop4">
    <w:name w:val="heading 4"/>
    <w:basedOn w:val="Standaard"/>
    <w:next w:val="Standaard"/>
    <w:qFormat/>
    <w:pPr>
      <w:keepNext/>
      <w:tabs>
        <w:tab w:val="left" w:pos="-1440"/>
        <w:tab w:val="left" w:pos="-720"/>
      </w:tabs>
      <w:outlineLvl w:val="3"/>
    </w:pPr>
    <w:rPr>
      <w:b/>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pPr>
  </w:style>
  <w:style w:type="character" w:styleId="Paginanummer">
    <w:name w:val="page number"/>
    <w:basedOn w:val="Standaardalinea-lettertype"/>
  </w:style>
  <w:style w:type="character" w:styleId="Hyperlink">
    <w:name w:val="Hyperlink"/>
    <w:rPr>
      <w:color w:val="0000FF"/>
      <w:u w:val="single"/>
    </w:rPr>
  </w:style>
  <w:style w:type="paragraph" w:styleId="Koptekst">
    <w:name w:val="header"/>
    <w:basedOn w:val="Standaard"/>
    <w:pPr>
      <w:tabs>
        <w:tab w:val="center" w:pos="4536"/>
        <w:tab w:val="right" w:pos="9072"/>
      </w:tabs>
    </w:pPr>
  </w:style>
  <w:style w:type="paragraph" w:styleId="Normaalweb">
    <w:name w:val="Normal (Web)"/>
    <w:basedOn w:val="Standaard"/>
    <w:uiPriority w:val="99"/>
    <w:unhideWhenUsed/>
    <w:rsid w:val="000706DA"/>
    <w:pPr>
      <w:spacing w:before="100" w:beforeAutospacing="1" w:after="100" w:afterAutospacing="1"/>
    </w:pPr>
    <w:rPr>
      <w:sz w:val="24"/>
      <w:szCs w:val="24"/>
    </w:rPr>
  </w:style>
  <w:style w:type="character" w:customStyle="1" w:styleId="lead1">
    <w:name w:val="lead1"/>
    <w:rsid w:val="00965895"/>
    <w:rPr>
      <w:b/>
      <w:bCs/>
    </w:rPr>
  </w:style>
  <w:style w:type="paragraph" w:styleId="Lijstalinea">
    <w:name w:val="List Paragraph"/>
    <w:basedOn w:val="Standaard"/>
    <w:uiPriority w:val="34"/>
    <w:qFormat/>
    <w:rsid w:val="0047127A"/>
    <w:pPr>
      <w:ind w:left="720"/>
      <w:contextualSpacing/>
    </w:pPr>
  </w:style>
  <w:style w:type="paragraph" w:styleId="Ballontekst">
    <w:name w:val="Balloon Text"/>
    <w:basedOn w:val="Standaard"/>
    <w:link w:val="BallontekstChar"/>
    <w:rsid w:val="00613F1A"/>
    <w:rPr>
      <w:rFonts w:ascii="Tahoma" w:hAnsi="Tahoma" w:cs="Tahoma"/>
      <w:sz w:val="16"/>
      <w:szCs w:val="16"/>
    </w:rPr>
  </w:style>
  <w:style w:type="character" w:customStyle="1" w:styleId="BallontekstChar">
    <w:name w:val="Ballontekst Char"/>
    <w:basedOn w:val="Standaardalinea-lettertype"/>
    <w:link w:val="Ballontekst"/>
    <w:rsid w:val="00613F1A"/>
    <w:rPr>
      <w:rFonts w:ascii="Tahoma" w:hAnsi="Tahoma" w:cs="Tahoma"/>
      <w:sz w:val="16"/>
      <w:szCs w:val="16"/>
    </w:rPr>
  </w:style>
  <w:style w:type="paragraph" w:styleId="Geenafstand">
    <w:name w:val="No Spacing"/>
    <w:uiPriority w:val="1"/>
    <w:qFormat/>
    <w:rsid w:val="005C3BC0"/>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491171">
      <w:bodyDiv w:val="1"/>
      <w:marLeft w:val="0"/>
      <w:marRight w:val="0"/>
      <w:marTop w:val="0"/>
      <w:marBottom w:val="0"/>
      <w:divBdr>
        <w:top w:val="none" w:sz="0" w:space="0" w:color="auto"/>
        <w:left w:val="none" w:sz="0" w:space="0" w:color="auto"/>
        <w:bottom w:val="none" w:sz="0" w:space="0" w:color="auto"/>
        <w:right w:val="none" w:sz="0" w:space="0" w:color="auto"/>
      </w:divBdr>
    </w:div>
    <w:div w:id="1481120456">
      <w:bodyDiv w:val="1"/>
      <w:marLeft w:val="0"/>
      <w:marRight w:val="0"/>
      <w:marTop w:val="0"/>
      <w:marBottom w:val="0"/>
      <w:divBdr>
        <w:top w:val="none" w:sz="0" w:space="0" w:color="auto"/>
        <w:left w:val="none" w:sz="0" w:space="0" w:color="auto"/>
        <w:bottom w:val="none" w:sz="0" w:space="0" w:color="auto"/>
        <w:right w:val="none" w:sz="0" w:space="0" w:color="auto"/>
      </w:divBdr>
    </w:div>
    <w:div w:id="1795904132">
      <w:bodyDiv w:val="1"/>
      <w:marLeft w:val="0"/>
      <w:marRight w:val="0"/>
      <w:marTop w:val="0"/>
      <w:marBottom w:val="0"/>
      <w:divBdr>
        <w:top w:val="none" w:sz="0" w:space="0" w:color="auto"/>
        <w:left w:val="none" w:sz="0" w:space="0" w:color="auto"/>
        <w:bottom w:val="none" w:sz="0" w:space="0" w:color="auto"/>
        <w:right w:val="none" w:sz="0" w:space="0" w:color="auto"/>
      </w:divBdr>
    </w:div>
    <w:div w:id="1916086423">
      <w:bodyDiv w:val="1"/>
      <w:marLeft w:val="0"/>
      <w:marRight w:val="0"/>
      <w:marTop w:val="0"/>
      <w:marBottom w:val="0"/>
      <w:divBdr>
        <w:top w:val="none" w:sz="0" w:space="0" w:color="auto"/>
        <w:left w:val="none" w:sz="0" w:space="0" w:color="auto"/>
        <w:bottom w:val="none" w:sz="0" w:space="0" w:color="auto"/>
        <w:right w:val="none" w:sz="0" w:space="0" w:color="auto"/>
      </w:divBdr>
      <w:divsChild>
        <w:div w:id="193932027">
          <w:marLeft w:val="0"/>
          <w:marRight w:val="0"/>
          <w:marTop w:val="0"/>
          <w:marBottom w:val="0"/>
          <w:divBdr>
            <w:top w:val="none" w:sz="0" w:space="0" w:color="auto"/>
            <w:left w:val="none" w:sz="0" w:space="0" w:color="auto"/>
            <w:bottom w:val="none" w:sz="0" w:space="0" w:color="auto"/>
            <w:right w:val="none" w:sz="0" w:space="0" w:color="auto"/>
          </w:divBdr>
          <w:divsChild>
            <w:div w:id="1919703754">
              <w:marLeft w:val="0"/>
              <w:marRight w:val="0"/>
              <w:marTop w:val="0"/>
              <w:marBottom w:val="0"/>
              <w:divBdr>
                <w:top w:val="none" w:sz="0" w:space="0" w:color="auto"/>
                <w:left w:val="none" w:sz="0" w:space="0" w:color="auto"/>
                <w:bottom w:val="none" w:sz="0" w:space="0" w:color="auto"/>
                <w:right w:val="none" w:sz="0" w:space="0" w:color="auto"/>
              </w:divBdr>
              <w:divsChild>
                <w:div w:id="2059936016">
                  <w:marLeft w:val="0"/>
                  <w:marRight w:val="0"/>
                  <w:marTop w:val="150"/>
                  <w:marBottom w:val="0"/>
                  <w:divBdr>
                    <w:top w:val="none" w:sz="0" w:space="0" w:color="auto"/>
                    <w:left w:val="none" w:sz="0" w:space="0" w:color="auto"/>
                    <w:bottom w:val="none" w:sz="0" w:space="0" w:color="auto"/>
                    <w:right w:val="none" w:sz="0" w:space="0" w:color="auto"/>
                  </w:divBdr>
                  <w:divsChild>
                    <w:div w:id="2081444049">
                      <w:marLeft w:val="0"/>
                      <w:marRight w:val="0"/>
                      <w:marTop w:val="0"/>
                      <w:marBottom w:val="0"/>
                      <w:divBdr>
                        <w:top w:val="none" w:sz="0" w:space="0" w:color="auto"/>
                        <w:left w:val="none" w:sz="0" w:space="0" w:color="auto"/>
                        <w:bottom w:val="none" w:sz="0" w:space="0" w:color="auto"/>
                        <w:right w:val="none" w:sz="0" w:space="0" w:color="auto"/>
                      </w:divBdr>
                      <w:divsChild>
                        <w:div w:id="1600409492">
                          <w:marLeft w:val="0"/>
                          <w:marRight w:val="0"/>
                          <w:marTop w:val="0"/>
                          <w:marBottom w:val="0"/>
                          <w:divBdr>
                            <w:top w:val="none" w:sz="0" w:space="0" w:color="auto"/>
                            <w:left w:val="none" w:sz="0" w:space="0" w:color="auto"/>
                            <w:bottom w:val="none" w:sz="0" w:space="0" w:color="auto"/>
                            <w:right w:val="none" w:sz="0" w:space="0" w:color="auto"/>
                          </w:divBdr>
                          <w:divsChild>
                            <w:div w:id="200095450">
                              <w:marLeft w:val="0"/>
                              <w:marRight w:val="0"/>
                              <w:marTop w:val="0"/>
                              <w:marBottom w:val="0"/>
                              <w:divBdr>
                                <w:top w:val="none" w:sz="0" w:space="0" w:color="auto"/>
                                <w:left w:val="none" w:sz="0" w:space="0" w:color="auto"/>
                                <w:bottom w:val="single" w:sz="2" w:space="8" w:color="C3EB4F"/>
                                <w:right w:val="none" w:sz="0" w:space="0" w:color="auto"/>
                              </w:divBdr>
                              <w:divsChild>
                                <w:div w:id="113660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eplink.rechtspraak.nl/uitspraak?id=ECLI:NL:RBOBR:2016:5716" TargetMode="External"/><Relationship Id="rId18" Type="http://schemas.openxmlformats.org/officeDocument/2006/relationships/hyperlink" Target="https://zoek.officielebekendmakingen.nl/kst-34532-23.html" TargetMode="External"/><Relationship Id="rId26" Type="http://schemas.openxmlformats.org/officeDocument/2006/relationships/hyperlink" Target="http://www.rechtspraak.nl" TargetMode="External"/><Relationship Id="rId3" Type="http://schemas.openxmlformats.org/officeDocument/2006/relationships/styles" Target="styles.xml"/><Relationship Id="rId21" Type="http://schemas.openxmlformats.org/officeDocument/2006/relationships/hyperlink" Target="http://deeplink.rechtspraak.nl/uitspraak?id=ECLI:NL:RBOBR:2016:5633" TargetMode="External"/><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zoek.officielebekendmakingen.nl/kst-33348-Z.html" TargetMode="External"/><Relationship Id="rId17" Type="http://schemas.openxmlformats.org/officeDocument/2006/relationships/hyperlink" Target="https://zoek.officielebekendmakingen.nl/kst-34532-19.html" TargetMode="External"/><Relationship Id="rId25" Type="http://schemas.openxmlformats.org/officeDocument/2006/relationships/hyperlink" Target="http://www.internetconsultatie.nl"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zoek.officielebekendmakingen.nl/kst-27428-332.html" TargetMode="External"/><Relationship Id="rId20" Type="http://schemas.openxmlformats.org/officeDocument/2006/relationships/hyperlink" Target="http://deeplink.rechtspraak.nl/uitspraak?id=ECLI:NL:RBOBR:2016:5454" TargetMode="External"/><Relationship Id="rId29" Type="http://schemas.openxmlformats.org/officeDocument/2006/relationships/hyperlink" Target="http://www.echr.coe.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aadvanstate.nl/pers/persberichten/tekst-persbericht.html?id=991&amp;summary_only=&amp;category_id=8" TargetMode="External"/><Relationship Id="rId24" Type="http://schemas.openxmlformats.org/officeDocument/2006/relationships/hyperlink" Target="http://www.overheid.nl"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deeplink.rechtspraak.nl/uitspraak?id=ECLI:NL:CBB:2016:310" TargetMode="External"/><Relationship Id="rId23" Type="http://schemas.openxmlformats.org/officeDocument/2006/relationships/hyperlink" Target="http://deeplink.rechtspraak.nl/uitspraak?id=ECLI:NL:RBGEL:2016:5609" TargetMode="External"/><Relationship Id="rId28" Type="http://schemas.openxmlformats.org/officeDocument/2006/relationships/hyperlink" Target="http://curia.europa.eu/" TargetMode="External"/><Relationship Id="rId36" Type="http://schemas.openxmlformats.org/officeDocument/2006/relationships/fontTable" Target="fontTable.xml"/><Relationship Id="rId10" Type="http://schemas.openxmlformats.org/officeDocument/2006/relationships/hyperlink" Target="https://zoek.officielebekendmakingen.nl/kst-32670-111.html" TargetMode="External"/><Relationship Id="rId19" Type="http://schemas.openxmlformats.org/officeDocument/2006/relationships/hyperlink" Target="https://zoek.officielebekendmakingen.nl/kst-34532-24.html"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zoek.officielebekendmakingen.nl/kst-33576-89.html" TargetMode="External"/><Relationship Id="rId14" Type="http://schemas.openxmlformats.org/officeDocument/2006/relationships/hyperlink" Target="http://deeplink.rechtspraak.nl/uitspraak?id=ECLI:NL:GHAMS:2016:4152" TargetMode="External"/><Relationship Id="rId22" Type="http://schemas.openxmlformats.org/officeDocument/2006/relationships/hyperlink" Target="http://deeplink.rechtspraak.nl/uitspraak?id=ECLI:NL:RVS:2016:2736" TargetMode="External"/><Relationship Id="rId27" Type="http://schemas.openxmlformats.org/officeDocument/2006/relationships/hyperlink" Target="http://europa.eu/publications/official-documents/index_nl.htm" TargetMode="External"/><Relationship Id="rId30" Type="http://schemas.openxmlformats.org/officeDocument/2006/relationships/header" Target="header1.xml"/><Relationship Id="rId35"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79D07-832F-402E-AF0D-2FEEDF3A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1401</Words>
  <Characters>10386</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Instituut v Agrarisch Recht</Company>
  <LinksUpToDate>false</LinksUpToDate>
  <CharactersWithSpaces>11764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 Monsma</dc:creator>
  <cp:lastModifiedBy>Eigenaar</cp:lastModifiedBy>
  <cp:revision>3</cp:revision>
  <cp:lastPrinted>2015-01-29T10:56:00Z</cp:lastPrinted>
  <dcterms:created xsi:type="dcterms:W3CDTF">2016-11-02T14:06:00Z</dcterms:created>
  <dcterms:modified xsi:type="dcterms:W3CDTF">2016-11-07T14:50:00Z</dcterms:modified>
</cp:coreProperties>
</file>